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67" w:rsidRPr="00E74867" w:rsidRDefault="00E74867" w:rsidP="00E74867">
      <w:pPr>
        <w:spacing w:after="0" w:line="240" w:lineRule="auto"/>
        <w:jc w:val="center"/>
        <w:rPr>
          <w:rFonts w:asciiTheme="majorBidi" w:hAnsiTheme="majorBidi" w:cstheme="majorBidi"/>
          <w:b/>
          <w:bCs/>
          <w:sz w:val="24"/>
          <w:szCs w:val="24"/>
        </w:rPr>
      </w:pPr>
      <w:r w:rsidRPr="00E74867">
        <w:rPr>
          <w:rFonts w:asciiTheme="majorBidi" w:hAnsiTheme="majorBidi" w:cstheme="majorBidi"/>
          <w:b/>
          <w:bCs/>
          <w:sz w:val="24"/>
          <w:szCs w:val="24"/>
        </w:rPr>
        <w:t xml:space="preserve">Le syllogisme </w:t>
      </w:r>
    </w:p>
    <w:p w:rsidR="00E74867" w:rsidRPr="00E74867" w:rsidRDefault="00E74867" w:rsidP="00E74867">
      <w:pPr>
        <w:spacing w:after="0" w:line="240" w:lineRule="auto"/>
        <w:jc w:val="center"/>
        <w:rPr>
          <w:rFonts w:asciiTheme="majorBidi" w:hAnsiTheme="majorBidi" w:cstheme="majorBidi"/>
          <w:sz w:val="24"/>
          <w:szCs w:val="24"/>
        </w:rPr>
      </w:pPr>
    </w:p>
    <w:p w:rsidR="00E74867" w:rsidRPr="00E74867" w:rsidRDefault="00C16E8A" w:rsidP="00E74867">
      <w:pPr>
        <w:spacing w:after="0" w:line="240" w:lineRule="auto"/>
        <w:rPr>
          <w:rFonts w:asciiTheme="majorBidi" w:hAnsiTheme="majorBidi" w:cstheme="majorBidi"/>
          <w:b/>
          <w:bCs/>
          <w:sz w:val="24"/>
          <w:szCs w:val="24"/>
        </w:rPr>
      </w:pPr>
      <w:r>
        <w:rPr>
          <w:rFonts w:asciiTheme="majorBidi" w:hAnsiTheme="majorBidi" w:cstheme="majorBidi"/>
          <w:b/>
          <w:bCs/>
          <w:sz w:val="24"/>
          <w:szCs w:val="24"/>
        </w:rPr>
        <w:t>Introduction</w:t>
      </w:r>
    </w:p>
    <w:p w:rsidR="00E74867" w:rsidRDefault="00E74867" w:rsidP="00E74867">
      <w:pPr>
        <w:spacing w:after="0" w:line="240" w:lineRule="auto"/>
        <w:rPr>
          <w:rFonts w:asciiTheme="majorBidi" w:hAnsiTheme="majorBidi" w:cstheme="majorBidi"/>
          <w:sz w:val="24"/>
          <w:szCs w:val="24"/>
        </w:rPr>
      </w:pPr>
      <w:r w:rsidRPr="00E74867">
        <w:rPr>
          <w:rFonts w:asciiTheme="majorBidi" w:hAnsiTheme="majorBidi" w:cstheme="majorBidi"/>
          <w:sz w:val="24"/>
          <w:szCs w:val="24"/>
        </w:rPr>
        <w:t>Si l’orateur veut agir d’une manière efficace par le biais de son discours, il doit s’adapter à son auditoire en ne choisissant comme point de départ de son raisonnement que des thèses admises par ceux auxquels il s’adresse. (Ces thèses ont le plus souvent la forme syllogistique). En effet, le but de l’argumentation n’est pas, comme celui de la démonstration, de prouver la vérité de la conclusion à partir de celle des prémisses, mais de transférer sur les conclusions l’adhésion accordée aux prémisses.</w:t>
      </w:r>
    </w:p>
    <w:p w:rsidR="00C16E8A" w:rsidRPr="00C16E8A" w:rsidRDefault="00C16E8A" w:rsidP="00E74867">
      <w:pPr>
        <w:spacing w:after="0" w:line="240" w:lineRule="auto"/>
        <w:rPr>
          <w:rFonts w:asciiTheme="majorBidi" w:hAnsiTheme="majorBidi" w:cstheme="majorBidi"/>
          <w:b/>
          <w:bCs/>
          <w:sz w:val="24"/>
          <w:szCs w:val="24"/>
        </w:rPr>
      </w:pPr>
      <w:r w:rsidRPr="00C16E8A">
        <w:rPr>
          <w:rFonts w:asciiTheme="majorBidi" w:hAnsiTheme="majorBidi" w:cstheme="majorBidi"/>
          <w:b/>
          <w:bCs/>
          <w:sz w:val="24"/>
          <w:szCs w:val="24"/>
        </w:rPr>
        <w:t>Définition</w:t>
      </w:r>
    </w:p>
    <w:p w:rsidR="00E74867" w:rsidRPr="00E74867" w:rsidRDefault="00E74867" w:rsidP="00E74867">
      <w:pPr>
        <w:spacing w:after="0" w:line="240" w:lineRule="auto"/>
        <w:rPr>
          <w:rFonts w:asciiTheme="majorBidi" w:hAnsiTheme="majorBidi" w:cstheme="majorBidi"/>
          <w:sz w:val="24"/>
          <w:szCs w:val="24"/>
        </w:rPr>
      </w:pPr>
      <w:r w:rsidRPr="00E74867">
        <w:rPr>
          <w:rFonts w:asciiTheme="majorBidi" w:hAnsiTheme="majorBidi" w:cstheme="majorBidi"/>
          <w:sz w:val="24"/>
          <w:szCs w:val="24"/>
        </w:rPr>
        <w:t xml:space="preserve">Dans son </w:t>
      </w:r>
      <w:r w:rsidRPr="00E74867">
        <w:rPr>
          <w:rFonts w:asciiTheme="majorBidi" w:hAnsiTheme="majorBidi" w:cstheme="majorBidi"/>
          <w:i/>
          <w:iCs/>
          <w:sz w:val="24"/>
          <w:szCs w:val="24"/>
        </w:rPr>
        <w:t xml:space="preserve">Organon, </w:t>
      </w:r>
      <w:r w:rsidRPr="00E74867">
        <w:rPr>
          <w:rFonts w:asciiTheme="majorBidi" w:hAnsiTheme="majorBidi" w:cstheme="majorBidi"/>
          <w:sz w:val="24"/>
          <w:szCs w:val="24"/>
        </w:rPr>
        <w:t>Aristote définit ainsi le syllogisme</w:t>
      </w:r>
      <w:r w:rsidRPr="00E74867">
        <w:rPr>
          <w:rFonts w:asciiTheme="majorBidi" w:hAnsiTheme="majorBidi" w:cstheme="majorBidi"/>
          <w:i/>
          <w:iCs/>
          <w:sz w:val="24"/>
          <w:szCs w:val="24"/>
        </w:rPr>
        <w:t xml:space="preserve"> (l’étymon </w:t>
      </w:r>
      <w:r w:rsidRPr="00E74867">
        <w:rPr>
          <w:rFonts w:asciiTheme="majorBidi" w:hAnsiTheme="majorBidi" w:cstheme="majorBidi"/>
          <w:sz w:val="24"/>
          <w:szCs w:val="24"/>
        </w:rPr>
        <w:t>grec renvoie à la fois à la déduction et au raisonnement) :</w:t>
      </w:r>
    </w:p>
    <w:p w:rsidR="00E74867" w:rsidRDefault="00E74867" w:rsidP="00C16E8A">
      <w:pPr>
        <w:spacing w:after="0" w:line="240" w:lineRule="auto"/>
        <w:ind w:left="1134" w:right="1134"/>
        <w:rPr>
          <w:rFonts w:asciiTheme="majorBidi" w:hAnsiTheme="majorBidi" w:cstheme="majorBidi"/>
          <w:i/>
          <w:iCs/>
          <w:sz w:val="24"/>
          <w:szCs w:val="24"/>
        </w:rPr>
      </w:pPr>
      <w:r w:rsidRPr="00E74867">
        <w:rPr>
          <w:rFonts w:asciiTheme="majorBidi" w:hAnsiTheme="majorBidi" w:cstheme="majorBidi"/>
          <w:i/>
          <w:iCs/>
          <w:sz w:val="24"/>
          <w:szCs w:val="24"/>
        </w:rPr>
        <w:t>Le syllogisme est un discours dans lequel, certaines choses étant posées, une autre chose différente d’elles en résulte nécessairement, par les choses mêmes qui sont posées […..] Est dialectique le syllogisme qui conclut de prémisses probables [….] Sont probables les opinions qui sont reçues par tous les hommes, ou par la plupart d’entre eux, ou par les sages</w:t>
      </w:r>
      <w:r w:rsidRPr="00E74867">
        <w:rPr>
          <w:rFonts w:asciiTheme="majorBidi" w:hAnsiTheme="majorBidi" w:cstheme="majorBidi"/>
          <w:i/>
          <w:iCs/>
          <w:sz w:val="24"/>
          <w:szCs w:val="24"/>
          <w:vertAlign w:val="superscript"/>
        </w:rPr>
        <w:footnoteReference w:id="1"/>
      </w:r>
      <w:r w:rsidRPr="00E74867">
        <w:rPr>
          <w:rFonts w:asciiTheme="majorBidi" w:hAnsiTheme="majorBidi" w:cstheme="majorBidi"/>
          <w:i/>
          <w:iCs/>
          <w:sz w:val="24"/>
          <w:szCs w:val="24"/>
        </w:rPr>
        <w:t>.</w:t>
      </w:r>
      <w:r>
        <w:rPr>
          <w:rFonts w:asciiTheme="majorBidi" w:hAnsiTheme="majorBidi" w:cstheme="majorBidi"/>
          <w:i/>
          <w:iCs/>
          <w:sz w:val="24"/>
          <w:szCs w:val="24"/>
        </w:rPr>
        <w:t> </w:t>
      </w:r>
    </w:p>
    <w:p w:rsidR="00E74867" w:rsidRPr="00E74867" w:rsidRDefault="00E74867" w:rsidP="00E74867">
      <w:pPr>
        <w:spacing w:after="0" w:line="240" w:lineRule="auto"/>
        <w:rPr>
          <w:rFonts w:asciiTheme="majorBidi" w:hAnsiTheme="majorBidi" w:cstheme="majorBidi"/>
          <w:i/>
          <w:iCs/>
          <w:sz w:val="24"/>
          <w:szCs w:val="24"/>
        </w:rPr>
      </w:pPr>
      <w:r w:rsidRPr="00E74867">
        <w:rPr>
          <w:rFonts w:asciiTheme="majorBidi" w:hAnsiTheme="majorBidi" w:cstheme="majorBidi"/>
          <w:sz w:val="24"/>
          <w:szCs w:val="24"/>
        </w:rPr>
        <w:t xml:space="preserve">Un syllogisme est donc composé de la majeure et la mineure et d’une conclusion. </w:t>
      </w:r>
    </w:p>
    <w:p w:rsidR="00E74867" w:rsidRPr="00E74867" w:rsidRDefault="00E74867" w:rsidP="00E74867">
      <w:pPr>
        <w:spacing w:after="0" w:line="240" w:lineRule="auto"/>
        <w:rPr>
          <w:rFonts w:asciiTheme="majorBidi" w:hAnsiTheme="majorBidi" w:cstheme="majorBidi"/>
          <w:sz w:val="24"/>
          <w:szCs w:val="24"/>
        </w:rPr>
      </w:pPr>
      <w:r w:rsidRPr="00E74867">
        <w:rPr>
          <w:rFonts w:asciiTheme="majorBidi" w:hAnsiTheme="majorBidi" w:cstheme="majorBidi"/>
          <w:b/>
          <w:bCs/>
          <w:i/>
          <w:iCs/>
          <w:sz w:val="24"/>
          <w:szCs w:val="24"/>
        </w:rPr>
        <w:t>Exemple</w:t>
      </w:r>
      <w:r w:rsidRPr="00E74867">
        <w:rPr>
          <w:rFonts w:asciiTheme="majorBidi" w:hAnsiTheme="majorBidi" w:cstheme="majorBidi"/>
          <w:sz w:val="24"/>
          <w:szCs w:val="24"/>
        </w:rPr>
        <w:t xml:space="preserve">.  </w:t>
      </w:r>
    </w:p>
    <w:p w:rsidR="00E74867" w:rsidRPr="00E74867" w:rsidRDefault="00C16E8A" w:rsidP="00C16E8A">
      <w:pPr>
        <w:tabs>
          <w:tab w:val="center" w:pos="4536"/>
          <w:tab w:val="left" w:pos="7369"/>
        </w:tabs>
        <w:spacing w:after="0" w:line="240" w:lineRule="auto"/>
        <w:rPr>
          <w:rFonts w:asciiTheme="majorBidi" w:hAnsiTheme="majorBidi" w:cstheme="majorBidi"/>
          <w:sz w:val="24"/>
          <w:szCs w:val="24"/>
        </w:rPr>
      </w:pPr>
      <w:r>
        <w:rPr>
          <w:rFonts w:asciiTheme="majorBidi" w:hAnsiTheme="majorBidi" w:cstheme="majorBidi"/>
          <w:sz w:val="24"/>
          <w:szCs w:val="24"/>
        </w:rPr>
        <w:tab/>
      </w:r>
      <w:r w:rsidR="00E74867" w:rsidRPr="00E74867">
        <w:rPr>
          <w:rFonts w:asciiTheme="majorBidi" w:hAnsiTheme="majorBidi" w:cstheme="majorBidi"/>
          <w:sz w:val="24"/>
          <w:szCs w:val="24"/>
        </w:rPr>
        <w:t>Tous les hommes sont mortels (</w:t>
      </w:r>
      <w:r w:rsidR="00E74867" w:rsidRPr="00C16E8A">
        <w:rPr>
          <w:rFonts w:asciiTheme="majorBidi" w:hAnsiTheme="majorBidi" w:cstheme="majorBidi"/>
          <w:i/>
          <w:iCs/>
          <w:sz w:val="24"/>
          <w:szCs w:val="24"/>
        </w:rPr>
        <w:t>majeure</w:t>
      </w:r>
      <w:r w:rsidR="00E74867" w:rsidRPr="00E74867">
        <w:rPr>
          <w:rFonts w:asciiTheme="majorBidi" w:hAnsiTheme="majorBidi" w:cstheme="majorBidi"/>
          <w:sz w:val="24"/>
          <w:szCs w:val="24"/>
        </w:rPr>
        <w:t>)</w:t>
      </w:r>
      <w:r>
        <w:rPr>
          <w:rFonts w:asciiTheme="majorBidi" w:hAnsiTheme="majorBidi" w:cstheme="majorBidi"/>
          <w:sz w:val="24"/>
          <w:szCs w:val="24"/>
        </w:rPr>
        <w:tab/>
      </w:r>
    </w:p>
    <w:p w:rsidR="00E74867" w:rsidRPr="00E74867" w:rsidRDefault="00E74867" w:rsidP="00E74867">
      <w:pPr>
        <w:spacing w:after="0" w:line="240" w:lineRule="auto"/>
        <w:jc w:val="center"/>
        <w:rPr>
          <w:rFonts w:asciiTheme="majorBidi" w:hAnsiTheme="majorBidi" w:cstheme="majorBidi"/>
          <w:sz w:val="24"/>
          <w:szCs w:val="24"/>
        </w:rPr>
      </w:pPr>
      <w:r w:rsidRPr="00E74867">
        <w:rPr>
          <w:rFonts w:asciiTheme="majorBidi" w:hAnsiTheme="majorBidi" w:cstheme="majorBidi"/>
          <w:sz w:val="24"/>
          <w:szCs w:val="24"/>
        </w:rPr>
        <w:t>Socrate est un homme (</w:t>
      </w:r>
      <w:r w:rsidRPr="00C16E8A">
        <w:rPr>
          <w:rFonts w:asciiTheme="majorBidi" w:hAnsiTheme="majorBidi" w:cstheme="majorBidi"/>
          <w:i/>
          <w:iCs/>
          <w:sz w:val="24"/>
          <w:szCs w:val="24"/>
        </w:rPr>
        <w:t>mineure</w:t>
      </w:r>
      <w:r w:rsidRPr="00E74867">
        <w:rPr>
          <w:rFonts w:asciiTheme="majorBidi" w:hAnsiTheme="majorBidi" w:cstheme="majorBidi"/>
          <w:sz w:val="24"/>
          <w:szCs w:val="24"/>
        </w:rPr>
        <w:t>)</w:t>
      </w:r>
    </w:p>
    <w:p w:rsidR="00E74867" w:rsidRDefault="00E74867" w:rsidP="00E74867">
      <w:pPr>
        <w:spacing w:after="0" w:line="240" w:lineRule="auto"/>
        <w:jc w:val="center"/>
        <w:rPr>
          <w:rFonts w:asciiTheme="majorBidi" w:hAnsiTheme="majorBidi" w:cstheme="majorBidi"/>
          <w:sz w:val="24"/>
          <w:szCs w:val="24"/>
        </w:rPr>
      </w:pPr>
      <w:r w:rsidRPr="00E74867">
        <w:rPr>
          <w:rFonts w:asciiTheme="majorBidi" w:hAnsiTheme="majorBidi" w:cstheme="majorBidi"/>
          <w:sz w:val="24"/>
          <w:szCs w:val="24"/>
        </w:rPr>
        <w:t>Donc Socrate est mortel (</w:t>
      </w:r>
      <w:r w:rsidRPr="00C16E8A">
        <w:rPr>
          <w:rFonts w:asciiTheme="majorBidi" w:hAnsiTheme="majorBidi" w:cstheme="majorBidi"/>
          <w:i/>
          <w:iCs/>
          <w:sz w:val="24"/>
          <w:szCs w:val="24"/>
        </w:rPr>
        <w:t>conclusion</w:t>
      </w:r>
      <w:r w:rsidRPr="00E74867">
        <w:rPr>
          <w:rFonts w:asciiTheme="majorBidi" w:hAnsiTheme="majorBidi" w:cstheme="majorBidi"/>
          <w:sz w:val="24"/>
          <w:szCs w:val="24"/>
        </w:rPr>
        <w:t>)</w:t>
      </w:r>
    </w:p>
    <w:p w:rsidR="00C16E8A" w:rsidRPr="00E74867" w:rsidRDefault="00C16E8A" w:rsidP="00E74867">
      <w:pPr>
        <w:spacing w:after="0" w:line="240" w:lineRule="auto"/>
        <w:jc w:val="center"/>
        <w:rPr>
          <w:rFonts w:asciiTheme="majorBidi" w:hAnsiTheme="majorBidi" w:cstheme="majorBidi"/>
          <w:sz w:val="24"/>
          <w:szCs w:val="24"/>
        </w:rPr>
      </w:pPr>
    </w:p>
    <w:p w:rsidR="00E74867" w:rsidRPr="00E74867" w:rsidRDefault="00E74867" w:rsidP="00E74867">
      <w:pPr>
        <w:spacing w:after="0" w:line="240" w:lineRule="auto"/>
        <w:rPr>
          <w:rFonts w:asciiTheme="majorBidi" w:hAnsiTheme="majorBidi" w:cstheme="majorBidi"/>
          <w:sz w:val="24"/>
          <w:szCs w:val="24"/>
        </w:rPr>
      </w:pPr>
      <w:r w:rsidRPr="00E74867">
        <w:rPr>
          <w:rFonts w:asciiTheme="majorBidi" w:hAnsiTheme="majorBidi" w:cstheme="majorBidi"/>
          <w:sz w:val="24"/>
          <w:szCs w:val="24"/>
        </w:rPr>
        <w:t>Pour Aristote, la dialectique et la rhétorique diffèrent de la démonstration en ce que celle-ci utilise des prémisses vraies et premières, c’est-à-dire, qui tirent leur certitude d’elles-mêmes. Ainsi, la différence essentielle entre les deux types de syllogismes, dialectique et rhétorique d’une part, démonstratif d’autre part, ne réside pas à ses yeux dans la rigueur des opérations de déduction mais dans la nature des prémisses, probables pour les uns (la dialectique et la rhétorique), nécessaires pour l’autre (démonstratif). Dans le domaine de la rhétorique, le syllogisme et l’enthymème se fondent sur les lieux communs.</w:t>
      </w:r>
    </w:p>
    <w:p w:rsidR="00E74867" w:rsidRPr="00E74867" w:rsidRDefault="00E74867" w:rsidP="00E74867">
      <w:pPr>
        <w:spacing w:after="0" w:line="240" w:lineRule="auto"/>
        <w:rPr>
          <w:rFonts w:asciiTheme="majorBidi" w:hAnsiTheme="majorBidi" w:cstheme="majorBidi"/>
          <w:sz w:val="24"/>
          <w:szCs w:val="24"/>
        </w:rPr>
      </w:pPr>
      <w:r w:rsidRPr="00E74867">
        <w:rPr>
          <w:rFonts w:asciiTheme="majorBidi" w:hAnsiTheme="majorBidi" w:cstheme="majorBidi"/>
          <w:sz w:val="24"/>
          <w:szCs w:val="24"/>
        </w:rPr>
        <w:t>L’enthymème est un syllogisme lacunaire. En effet, si la majeure ou la mineure est très connue, il ne faut pas l’énoncer, l’auditeur lui-même la supplée.</w:t>
      </w:r>
    </w:p>
    <w:p w:rsidR="00E74867" w:rsidRPr="00E74867" w:rsidRDefault="00E74867" w:rsidP="00E74867">
      <w:pPr>
        <w:spacing w:after="0" w:line="240" w:lineRule="auto"/>
        <w:rPr>
          <w:rFonts w:asciiTheme="majorBidi" w:hAnsiTheme="majorBidi" w:cstheme="majorBidi"/>
          <w:b/>
          <w:bCs/>
          <w:sz w:val="24"/>
          <w:szCs w:val="24"/>
        </w:rPr>
      </w:pPr>
      <w:r w:rsidRPr="00E74867">
        <w:rPr>
          <w:rFonts w:asciiTheme="majorBidi" w:hAnsiTheme="majorBidi" w:cstheme="majorBidi"/>
          <w:b/>
          <w:bCs/>
          <w:sz w:val="24"/>
          <w:szCs w:val="24"/>
        </w:rPr>
        <w:t>Exemple</w:t>
      </w:r>
    </w:p>
    <w:p w:rsidR="00E74867" w:rsidRPr="00E74867" w:rsidRDefault="00E74867" w:rsidP="00E74867">
      <w:pPr>
        <w:spacing w:after="0" w:line="240" w:lineRule="auto"/>
        <w:rPr>
          <w:rFonts w:asciiTheme="majorBidi" w:hAnsiTheme="majorBidi" w:cstheme="majorBidi"/>
          <w:sz w:val="24"/>
          <w:szCs w:val="24"/>
        </w:rPr>
      </w:pPr>
      <w:r w:rsidRPr="00E74867">
        <w:rPr>
          <w:rFonts w:asciiTheme="majorBidi" w:hAnsiTheme="majorBidi" w:cstheme="majorBidi"/>
          <w:sz w:val="24"/>
          <w:szCs w:val="24"/>
        </w:rPr>
        <w:t xml:space="preserve">« Le médecin est un homme »  il ne s’agit là que de la mineure d’un syllogisme qu’on peut reconstruire comme suit : « tous les hommes sont faillibles (majeure fondée sur un lieu non formulé). Le médecin est un homme (mineure formulé). Donc le médecin est faillible (conclusion non formulé). </w:t>
      </w:r>
    </w:p>
    <w:p w:rsidR="00E74867" w:rsidRPr="00E74867" w:rsidRDefault="00E74867" w:rsidP="00E74867">
      <w:pPr>
        <w:spacing w:after="0" w:line="240" w:lineRule="auto"/>
        <w:rPr>
          <w:rFonts w:asciiTheme="majorBidi" w:hAnsiTheme="majorBidi" w:cstheme="majorBidi"/>
          <w:sz w:val="24"/>
          <w:szCs w:val="24"/>
        </w:rPr>
      </w:pPr>
      <w:r w:rsidRPr="00E74867">
        <w:rPr>
          <w:rFonts w:asciiTheme="majorBidi" w:hAnsiTheme="majorBidi" w:cstheme="majorBidi"/>
          <w:sz w:val="24"/>
          <w:szCs w:val="24"/>
        </w:rPr>
        <w:t>Tous les hommes sont faillibles (majeure fondée sur un lieu non formulé).</w:t>
      </w:r>
    </w:p>
    <w:p w:rsidR="00E74867" w:rsidRPr="00E74867" w:rsidRDefault="00E74867" w:rsidP="00E74867">
      <w:pPr>
        <w:spacing w:after="0" w:line="240" w:lineRule="auto"/>
        <w:rPr>
          <w:rFonts w:asciiTheme="majorBidi" w:hAnsiTheme="majorBidi" w:cstheme="majorBidi"/>
          <w:sz w:val="24"/>
          <w:szCs w:val="24"/>
        </w:rPr>
      </w:pPr>
      <w:r w:rsidRPr="00E74867">
        <w:rPr>
          <w:rFonts w:asciiTheme="majorBidi" w:hAnsiTheme="majorBidi" w:cstheme="majorBidi"/>
          <w:sz w:val="24"/>
          <w:szCs w:val="24"/>
        </w:rPr>
        <w:t>Le médecin est un homme (mineure formulé).</w:t>
      </w:r>
    </w:p>
    <w:p w:rsidR="00E74867" w:rsidRPr="00E74867" w:rsidRDefault="00E74867" w:rsidP="00E74867">
      <w:pPr>
        <w:spacing w:after="0" w:line="240" w:lineRule="auto"/>
        <w:rPr>
          <w:rFonts w:asciiTheme="majorBidi" w:hAnsiTheme="majorBidi" w:cstheme="majorBidi"/>
          <w:sz w:val="24"/>
          <w:szCs w:val="24"/>
        </w:rPr>
      </w:pPr>
      <w:r w:rsidRPr="00E74867">
        <w:rPr>
          <w:rFonts w:asciiTheme="majorBidi" w:hAnsiTheme="majorBidi" w:cstheme="majorBidi"/>
          <w:sz w:val="24"/>
          <w:szCs w:val="24"/>
        </w:rPr>
        <w:t>Donc le médecin est faillible</w:t>
      </w:r>
    </w:p>
    <w:p w:rsidR="00E74867" w:rsidRPr="00E74867" w:rsidRDefault="00E74867" w:rsidP="00E74867">
      <w:pPr>
        <w:spacing w:after="0" w:line="240" w:lineRule="auto"/>
        <w:rPr>
          <w:rFonts w:asciiTheme="majorBidi" w:hAnsiTheme="majorBidi" w:cstheme="majorBidi"/>
          <w:sz w:val="24"/>
          <w:szCs w:val="24"/>
        </w:rPr>
      </w:pPr>
      <w:r w:rsidRPr="00E74867">
        <w:rPr>
          <w:rFonts w:asciiTheme="majorBidi" w:hAnsiTheme="majorBidi" w:cstheme="majorBidi"/>
          <w:sz w:val="24"/>
          <w:szCs w:val="24"/>
        </w:rPr>
        <w:t>Examinons l’échange suivant :</w:t>
      </w:r>
    </w:p>
    <w:p w:rsidR="00E74867" w:rsidRPr="00E74867" w:rsidRDefault="00E74867" w:rsidP="00E74867">
      <w:pPr>
        <w:numPr>
          <w:ilvl w:val="0"/>
          <w:numId w:val="6"/>
        </w:numPr>
        <w:spacing w:after="0" w:line="240" w:lineRule="auto"/>
        <w:ind w:left="0"/>
        <w:rPr>
          <w:rFonts w:asciiTheme="majorBidi" w:hAnsiTheme="majorBidi" w:cstheme="majorBidi"/>
          <w:sz w:val="24"/>
          <w:szCs w:val="24"/>
        </w:rPr>
      </w:pPr>
      <w:r w:rsidRPr="00E74867">
        <w:rPr>
          <w:rFonts w:asciiTheme="majorBidi" w:hAnsiTheme="majorBidi" w:cstheme="majorBidi"/>
          <w:sz w:val="24"/>
          <w:szCs w:val="24"/>
        </w:rPr>
        <w:t>tu viens jouer un match avec nous ?</w:t>
      </w:r>
    </w:p>
    <w:p w:rsidR="00E74867" w:rsidRPr="00E74867" w:rsidRDefault="00E74867" w:rsidP="00E74867">
      <w:pPr>
        <w:numPr>
          <w:ilvl w:val="0"/>
          <w:numId w:val="5"/>
        </w:numPr>
        <w:spacing w:after="0" w:line="240" w:lineRule="auto"/>
        <w:ind w:left="0"/>
        <w:rPr>
          <w:rFonts w:asciiTheme="majorBidi" w:hAnsiTheme="majorBidi" w:cstheme="majorBidi"/>
          <w:sz w:val="24"/>
          <w:szCs w:val="24"/>
        </w:rPr>
      </w:pPr>
      <w:r w:rsidRPr="00E74867">
        <w:rPr>
          <w:rFonts w:asciiTheme="majorBidi" w:hAnsiTheme="majorBidi" w:cstheme="majorBidi"/>
          <w:sz w:val="24"/>
          <w:szCs w:val="24"/>
        </w:rPr>
        <w:t>Non, j’ai du travail</w:t>
      </w:r>
    </w:p>
    <w:p w:rsidR="00E74867" w:rsidRPr="00E74867" w:rsidRDefault="00E74867" w:rsidP="00E74867">
      <w:pPr>
        <w:numPr>
          <w:ilvl w:val="0"/>
          <w:numId w:val="5"/>
        </w:numPr>
        <w:spacing w:after="0" w:line="240" w:lineRule="auto"/>
        <w:ind w:left="0"/>
        <w:rPr>
          <w:rFonts w:asciiTheme="majorBidi" w:hAnsiTheme="majorBidi" w:cstheme="majorBidi"/>
          <w:sz w:val="24"/>
          <w:szCs w:val="24"/>
        </w:rPr>
      </w:pPr>
      <w:r w:rsidRPr="00E74867">
        <w:rPr>
          <w:rFonts w:asciiTheme="majorBidi" w:hAnsiTheme="majorBidi" w:cstheme="majorBidi"/>
          <w:sz w:val="24"/>
          <w:szCs w:val="24"/>
        </w:rPr>
        <w:t>Viens quand même ça te détendra.</w:t>
      </w:r>
    </w:p>
    <w:p w:rsidR="00E74867" w:rsidRPr="00E74867" w:rsidRDefault="00E74867" w:rsidP="00E74867">
      <w:pPr>
        <w:spacing w:after="0" w:line="240" w:lineRule="auto"/>
        <w:rPr>
          <w:rFonts w:asciiTheme="majorBidi" w:hAnsiTheme="majorBidi" w:cstheme="majorBidi"/>
          <w:sz w:val="24"/>
          <w:szCs w:val="24"/>
        </w:rPr>
      </w:pPr>
      <w:r w:rsidRPr="00E74867">
        <w:rPr>
          <w:rFonts w:asciiTheme="majorBidi" w:hAnsiTheme="majorBidi" w:cstheme="majorBidi"/>
          <w:sz w:val="24"/>
          <w:szCs w:val="24"/>
        </w:rPr>
        <w:t>Cet échange comporte un jeu de syllogismes opposés. Celui du proposant se résume comme suit : « les gens qui travaillent ont besoin de se détendre (majeure non formulée). Jouer un match est une détente (mineure en partie implicite) donc, il faut qu’il aille jour un match.</w:t>
      </w:r>
    </w:p>
    <w:p w:rsidR="00E74867" w:rsidRPr="00E74867" w:rsidRDefault="00E74867" w:rsidP="00E74867">
      <w:pPr>
        <w:spacing w:after="0" w:line="240" w:lineRule="auto"/>
        <w:rPr>
          <w:rFonts w:asciiTheme="majorBidi" w:hAnsiTheme="majorBidi" w:cstheme="majorBidi"/>
          <w:sz w:val="24"/>
          <w:szCs w:val="24"/>
        </w:rPr>
      </w:pPr>
    </w:p>
    <w:p w:rsidR="00E74867" w:rsidRPr="00E74867" w:rsidRDefault="00E74867" w:rsidP="007C52E6">
      <w:pPr>
        <w:spacing w:after="0" w:line="240" w:lineRule="auto"/>
        <w:rPr>
          <w:rFonts w:asciiTheme="majorBidi" w:hAnsiTheme="majorBidi" w:cstheme="majorBidi"/>
          <w:sz w:val="24"/>
          <w:szCs w:val="24"/>
        </w:rPr>
      </w:pPr>
      <w:r w:rsidRPr="00E74867">
        <w:rPr>
          <w:rFonts w:asciiTheme="majorBidi" w:hAnsiTheme="majorBidi" w:cstheme="majorBidi"/>
          <w:sz w:val="24"/>
          <w:szCs w:val="24"/>
        </w:rPr>
        <w:t>Les gens qui travaillent ont besoin de se détendre (majeure non formulée).</w:t>
      </w:r>
    </w:p>
    <w:p w:rsidR="00E74867" w:rsidRPr="00E74867" w:rsidRDefault="00E74867" w:rsidP="00E74867">
      <w:pPr>
        <w:spacing w:after="0" w:line="240" w:lineRule="auto"/>
        <w:rPr>
          <w:rFonts w:asciiTheme="majorBidi" w:hAnsiTheme="majorBidi" w:cstheme="majorBidi"/>
          <w:sz w:val="24"/>
          <w:szCs w:val="24"/>
        </w:rPr>
      </w:pPr>
      <w:r w:rsidRPr="00E74867">
        <w:rPr>
          <w:rFonts w:asciiTheme="majorBidi" w:hAnsiTheme="majorBidi" w:cstheme="majorBidi"/>
          <w:sz w:val="24"/>
          <w:szCs w:val="24"/>
        </w:rPr>
        <w:t>Jouer un match est une détente (mineure en partie implicite).</w:t>
      </w:r>
    </w:p>
    <w:p w:rsidR="00E74867" w:rsidRPr="00E74867" w:rsidRDefault="00E74867" w:rsidP="00E74867">
      <w:pPr>
        <w:spacing w:after="0" w:line="240" w:lineRule="auto"/>
        <w:rPr>
          <w:rFonts w:asciiTheme="majorBidi" w:hAnsiTheme="majorBidi" w:cstheme="majorBidi"/>
          <w:sz w:val="24"/>
          <w:szCs w:val="24"/>
        </w:rPr>
      </w:pPr>
      <w:r w:rsidRPr="00E74867">
        <w:rPr>
          <w:rFonts w:asciiTheme="majorBidi" w:hAnsiTheme="majorBidi" w:cstheme="majorBidi"/>
          <w:sz w:val="24"/>
          <w:szCs w:val="24"/>
        </w:rPr>
        <w:t>Donc, il faut qu’il aille jour un match.</w:t>
      </w:r>
    </w:p>
    <w:p w:rsidR="00E74867" w:rsidRPr="00E74867" w:rsidRDefault="00E74867" w:rsidP="00E74867">
      <w:pPr>
        <w:spacing w:after="0" w:line="240" w:lineRule="auto"/>
        <w:rPr>
          <w:rFonts w:asciiTheme="majorBidi" w:hAnsiTheme="majorBidi" w:cstheme="majorBidi"/>
          <w:sz w:val="24"/>
          <w:szCs w:val="24"/>
        </w:rPr>
      </w:pPr>
    </w:p>
    <w:p w:rsidR="00C16E8A" w:rsidRDefault="00E74867" w:rsidP="00E74867">
      <w:pPr>
        <w:spacing w:after="0" w:line="240" w:lineRule="auto"/>
        <w:rPr>
          <w:rFonts w:asciiTheme="majorBidi" w:hAnsiTheme="majorBidi" w:cstheme="majorBidi"/>
          <w:sz w:val="24"/>
          <w:szCs w:val="24"/>
        </w:rPr>
      </w:pPr>
      <w:r w:rsidRPr="00E74867">
        <w:rPr>
          <w:rFonts w:asciiTheme="majorBidi" w:hAnsiTheme="majorBidi" w:cstheme="majorBidi"/>
          <w:sz w:val="24"/>
          <w:szCs w:val="24"/>
        </w:rPr>
        <w:t xml:space="preserve">L’enthymème est nécessairement une forme plus courante que le syllogisme dans le discours. Qui plus est, en termes rhétoriques (et non pas purement logiques), il est doté de l’implicite. En effet, </w:t>
      </w:r>
    </w:p>
    <w:p w:rsidR="00E74867" w:rsidRPr="00C16E8A" w:rsidRDefault="00C16E8A" w:rsidP="00C16E8A">
      <w:pPr>
        <w:spacing w:after="0" w:line="240" w:lineRule="auto"/>
        <w:ind w:left="1134" w:right="1134"/>
        <w:rPr>
          <w:rFonts w:asciiTheme="majorBidi" w:hAnsiTheme="majorBidi" w:cstheme="majorBidi"/>
          <w:i/>
          <w:iCs/>
          <w:sz w:val="24"/>
          <w:szCs w:val="24"/>
        </w:rPr>
      </w:pPr>
      <w:r w:rsidRPr="00C16E8A">
        <w:rPr>
          <w:rFonts w:asciiTheme="majorBidi" w:hAnsiTheme="majorBidi" w:cstheme="majorBidi"/>
          <w:i/>
          <w:iCs/>
          <w:sz w:val="24"/>
          <w:szCs w:val="24"/>
        </w:rPr>
        <w:t>Le</w:t>
      </w:r>
      <w:r w:rsidR="00E74867" w:rsidRPr="00C16E8A">
        <w:rPr>
          <w:rFonts w:asciiTheme="majorBidi" w:hAnsiTheme="majorBidi" w:cstheme="majorBidi"/>
          <w:i/>
          <w:iCs/>
          <w:sz w:val="24"/>
          <w:szCs w:val="24"/>
        </w:rPr>
        <w:t xml:space="preserve"> locuteur peut renforcer l’effet de son argumentation sur l’auditeur en n’entrant pas dans les détails et en présentant les prémisses ou les conclusions comme allant de soi par le fait qu’il ne les mentionne pas </w:t>
      </w:r>
      <w:r w:rsidRPr="00C16E8A">
        <w:rPr>
          <w:rFonts w:asciiTheme="majorBidi" w:hAnsiTheme="majorBidi" w:cstheme="majorBidi"/>
          <w:i/>
          <w:iCs/>
          <w:sz w:val="24"/>
          <w:szCs w:val="24"/>
        </w:rPr>
        <w:t>explicitement</w:t>
      </w:r>
      <w:r w:rsidR="00E74867" w:rsidRPr="00C16E8A">
        <w:rPr>
          <w:rFonts w:asciiTheme="majorBidi" w:hAnsiTheme="majorBidi" w:cstheme="majorBidi"/>
          <w:i/>
          <w:iCs/>
          <w:sz w:val="24"/>
          <w:szCs w:val="24"/>
          <w:vertAlign w:val="superscript"/>
        </w:rPr>
        <w:footnoteReference w:id="2"/>
      </w:r>
      <w:r w:rsidR="00E74867" w:rsidRPr="00C16E8A">
        <w:rPr>
          <w:rFonts w:asciiTheme="majorBidi" w:hAnsiTheme="majorBidi" w:cstheme="majorBidi"/>
          <w:i/>
          <w:iCs/>
          <w:sz w:val="24"/>
          <w:szCs w:val="24"/>
        </w:rPr>
        <w:t>.</w:t>
      </w:r>
    </w:p>
    <w:p w:rsidR="00E74867" w:rsidRPr="00C16E8A" w:rsidRDefault="00E74867" w:rsidP="00C16E8A">
      <w:pPr>
        <w:spacing w:after="0" w:line="240" w:lineRule="auto"/>
        <w:ind w:left="1134"/>
        <w:rPr>
          <w:rFonts w:asciiTheme="majorBidi" w:hAnsiTheme="majorBidi" w:cstheme="majorBidi"/>
          <w:i/>
          <w:iCs/>
          <w:sz w:val="24"/>
          <w:szCs w:val="24"/>
        </w:rPr>
      </w:pPr>
    </w:p>
    <w:p w:rsidR="00E74867" w:rsidRPr="00E74867" w:rsidRDefault="00E74867" w:rsidP="00E74867">
      <w:pPr>
        <w:spacing w:after="0" w:line="240" w:lineRule="auto"/>
        <w:rPr>
          <w:rFonts w:asciiTheme="majorBidi" w:hAnsiTheme="majorBidi" w:cstheme="majorBidi"/>
          <w:sz w:val="24"/>
          <w:szCs w:val="24"/>
        </w:rPr>
      </w:pPr>
      <w:r w:rsidRPr="00E74867">
        <w:rPr>
          <w:rFonts w:asciiTheme="majorBidi" w:hAnsiTheme="majorBidi" w:cstheme="majorBidi"/>
          <w:sz w:val="24"/>
          <w:szCs w:val="24"/>
        </w:rPr>
        <w:t>Un bon point de départ suppose un accord de l’auditoire. Cet accord portera sur :</w:t>
      </w:r>
    </w:p>
    <w:p w:rsidR="00E74867" w:rsidRPr="00E74867" w:rsidRDefault="00E74867" w:rsidP="00E74867">
      <w:pPr>
        <w:spacing w:after="0" w:line="240" w:lineRule="auto"/>
        <w:rPr>
          <w:rFonts w:asciiTheme="majorBidi" w:hAnsiTheme="majorBidi" w:cstheme="majorBidi"/>
          <w:sz w:val="24"/>
          <w:szCs w:val="24"/>
        </w:rPr>
      </w:pPr>
      <w:r w:rsidRPr="00E74867">
        <w:rPr>
          <w:rFonts w:asciiTheme="majorBidi" w:hAnsiTheme="majorBidi" w:cstheme="majorBidi"/>
          <w:sz w:val="24"/>
          <w:szCs w:val="24"/>
        </w:rPr>
        <w:t>- le contenu de prémisses explicites</w:t>
      </w:r>
    </w:p>
    <w:p w:rsidR="00E74867" w:rsidRPr="00E74867" w:rsidRDefault="00E74867" w:rsidP="00E74867">
      <w:pPr>
        <w:spacing w:after="0" w:line="240" w:lineRule="auto"/>
        <w:rPr>
          <w:rFonts w:asciiTheme="majorBidi" w:hAnsiTheme="majorBidi" w:cstheme="majorBidi"/>
          <w:sz w:val="24"/>
          <w:szCs w:val="24"/>
        </w:rPr>
      </w:pPr>
      <w:r w:rsidRPr="00E74867">
        <w:rPr>
          <w:rFonts w:asciiTheme="majorBidi" w:hAnsiTheme="majorBidi" w:cstheme="majorBidi"/>
          <w:sz w:val="24"/>
          <w:szCs w:val="24"/>
        </w:rPr>
        <w:t>- les liaisons particulières utilisées</w:t>
      </w:r>
    </w:p>
    <w:p w:rsidR="00E74867" w:rsidRPr="00E74867" w:rsidRDefault="00E74867" w:rsidP="00E74867">
      <w:pPr>
        <w:spacing w:after="0" w:line="240" w:lineRule="auto"/>
        <w:rPr>
          <w:rFonts w:asciiTheme="majorBidi" w:hAnsiTheme="majorBidi" w:cstheme="majorBidi"/>
          <w:sz w:val="24"/>
          <w:szCs w:val="24"/>
        </w:rPr>
      </w:pPr>
      <w:r w:rsidRPr="00E74867">
        <w:rPr>
          <w:rFonts w:asciiTheme="majorBidi" w:hAnsiTheme="majorBidi" w:cstheme="majorBidi"/>
          <w:sz w:val="24"/>
          <w:szCs w:val="24"/>
        </w:rPr>
        <w:t>- la façon de se servir de ces liaisons</w:t>
      </w:r>
    </w:p>
    <w:p w:rsidR="00E74867" w:rsidRPr="00E74867" w:rsidRDefault="00E74867" w:rsidP="00E74867">
      <w:pPr>
        <w:spacing w:after="0" w:line="240" w:lineRule="auto"/>
        <w:rPr>
          <w:rFonts w:asciiTheme="majorBidi" w:hAnsiTheme="majorBidi" w:cstheme="majorBidi"/>
          <w:sz w:val="24"/>
          <w:szCs w:val="24"/>
        </w:rPr>
      </w:pPr>
      <w:r w:rsidRPr="00E74867">
        <w:rPr>
          <w:rFonts w:asciiTheme="majorBidi" w:hAnsiTheme="majorBidi" w:cstheme="majorBidi"/>
          <w:sz w:val="24"/>
          <w:szCs w:val="24"/>
        </w:rPr>
        <w:t xml:space="preserve">L’orateur table sur l’adhésion de ses auditeurs aux propositions de départ, mais ceux-ci peuvent la lui refuser pour différentes raisons. C’est ce qu’on appelle </w:t>
      </w:r>
      <w:r w:rsidRPr="00E74867">
        <w:rPr>
          <w:rFonts w:asciiTheme="majorBidi" w:hAnsiTheme="majorBidi" w:cstheme="majorBidi"/>
          <w:i/>
          <w:iCs/>
          <w:sz w:val="24"/>
          <w:szCs w:val="24"/>
        </w:rPr>
        <w:t>la pétition de principe</w:t>
      </w:r>
      <w:r w:rsidRPr="00E74867">
        <w:rPr>
          <w:rFonts w:asciiTheme="majorBidi" w:hAnsiTheme="majorBidi" w:cstheme="majorBidi"/>
          <w:sz w:val="24"/>
          <w:szCs w:val="24"/>
        </w:rPr>
        <w:t>. (Une faute de logique qui consiste à présenter au départ une thèse comme étant acceptée et admise par les auditeurs alors qu’elle ne l’est pas encore)</w:t>
      </w:r>
    </w:p>
    <w:p w:rsidR="00E74867" w:rsidRPr="00E74867" w:rsidRDefault="00E74867" w:rsidP="00E74867">
      <w:pPr>
        <w:spacing w:after="0" w:line="240" w:lineRule="auto"/>
        <w:rPr>
          <w:rFonts w:asciiTheme="majorBidi" w:hAnsiTheme="majorBidi" w:cstheme="majorBidi"/>
          <w:sz w:val="24"/>
          <w:szCs w:val="24"/>
        </w:rPr>
      </w:pPr>
      <w:r w:rsidRPr="00E74867">
        <w:rPr>
          <w:rFonts w:asciiTheme="majorBidi" w:hAnsiTheme="majorBidi" w:cstheme="majorBidi"/>
          <w:sz w:val="24"/>
          <w:szCs w:val="24"/>
        </w:rPr>
        <w:t xml:space="preserve">L’analyse des prémisses se fera en trois parties : </w:t>
      </w:r>
      <w:r w:rsidRPr="00E74867">
        <w:rPr>
          <w:rFonts w:asciiTheme="majorBidi" w:hAnsiTheme="majorBidi" w:cstheme="majorBidi"/>
          <w:i/>
          <w:iCs/>
          <w:sz w:val="24"/>
          <w:szCs w:val="24"/>
        </w:rPr>
        <w:t>l’accord concernant</w:t>
      </w:r>
      <w:r w:rsidRPr="00E74867">
        <w:rPr>
          <w:rFonts w:asciiTheme="majorBidi" w:hAnsiTheme="majorBidi" w:cstheme="majorBidi"/>
          <w:sz w:val="24"/>
          <w:szCs w:val="24"/>
        </w:rPr>
        <w:t xml:space="preserve"> </w:t>
      </w:r>
      <w:r w:rsidRPr="00E74867">
        <w:rPr>
          <w:rFonts w:asciiTheme="majorBidi" w:hAnsiTheme="majorBidi" w:cstheme="majorBidi"/>
          <w:i/>
          <w:iCs/>
          <w:sz w:val="24"/>
          <w:szCs w:val="24"/>
        </w:rPr>
        <w:t>les prémisses</w:t>
      </w:r>
      <w:r w:rsidRPr="00E74867">
        <w:rPr>
          <w:rFonts w:asciiTheme="majorBidi" w:hAnsiTheme="majorBidi" w:cstheme="majorBidi"/>
          <w:sz w:val="24"/>
          <w:szCs w:val="24"/>
        </w:rPr>
        <w:t xml:space="preserve">, </w:t>
      </w:r>
      <w:r w:rsidRPr="00E74867">
        <w:rPr>
          <w:rFonts w:asciiTheme="majorBidi" w:hAnsiTheme="majorBidi" w:cstheme="majorBidi"/>
          <w:i/>
          <w:iCs/>
          <w:sz w:val="24"/>
          <w:szCs w:val="24"/>
        </w:rPr>
        <w:t>leur choix</w:t>
      </w:r>
      <w:r w:rsidRPr="00E74867">
        <w:rPr>
          <w:rFonts w:asciiTheme="majorBidi" w:hAnsiTheme="majorBidi" w:cstheme="majorBidi"/>
          <w:sz w:val="24"/>
          <w:szCs w:val="24"/>
        </w:rPr>
        <w:t xml:space="preserve"> et </w:t>
      </w:r>
      <w:r w:rsidRPr="00E74867">
        <w:rPr>
          <w:rFonts w:asciiTheme="majorBidi" w:hAnsiTheme="majorBidi" w:cstheme="majorBidi"/>
          <w:i/>
          <w:iCs/>
          <w:sz w:val="24"/>
          <w:szCs w:val="24"/>
        </w:rPr>
        <w:t>leur présentation</w:t>
      </w:r>
      <w:r w:rsidRPr="00E74867">
        <w:rPr>
          <w:rFonts w:asciiTheme="majorBidi" w:hAnsiTheme="majorBidi" w:cstheme="majorBidi"/>
          <w:sz w:val="24"/>
          <w:szCs w:val="24"/>
        </w:rPr>
        <w:t>.</w:t>
      </w:r>
    </w:p>
    <w:p w:rsidR="00E74867" w:rsidRPr="00E74867" w:rsidRDefault="00E74867" w:rsidP="00E74867">
      <w:pPr>
        <w:spacing w:after="0" w:line="240" w:lineRule="auto"/>
        <w:rPr>
          <w:rFonts w:asciiTheme="majorBidi" w:hAnsiTheme="majorBidi" w:cstheme="majorBidi"/>
          <w:sz w:val="24"/>
          <w:szCs w:val="24"/>
        </w:rPr>
      </w:pPr>
      <w:r w:rsidRPr="00E74867">
        <w:rPr>
          <w:rFonts w:asciiTheme="majorBidi" w:hAnsiTheme="majorBidi" w:cstheme="majorBidi"/>
          <w:sz w:val="24"/>
          <w:szCs w:val="24"/>
        </w:rPr>
        <w:t>Les types d’objet d’accord jouent un rôle différent dans le processus argumentatif. On peut les regrouper en deux catégories :</w:t>
      </w:r>
    </w:p>
    <w:p w:rsidR="00E74867" w:rsidRPr="00E74867" w:rsidRDefault="00E74867" w:rsidP="00E74867">
      <w:pPr>
        <w:numPr>
          <w:ilvl w:val="0"/>
          <w:numId w:val="3"/>
        </w:numPr>
        <w:spacing w:after="0" w:line="240" w:lineRule="auto"/>
        <w:ind w:left="0"/>
        <w:rPr>
          <w:rFonts w:asciiTheme="majorBidi" w:hAnsiTheme="majorBidi" w:cstheme="majorBidi"/>
          <w:sz w:val="24"/>
          <w:szCs w:val="24"/>
        </w:rPr>
      </w:pPr>
      <w:r w:rsidRPr="00E74867">
        <w:rPr>
          <w:rFonts w:asciiTheme="majorBidi" w:hAnsiTheme="majorBidi" w:cstheme="majorBidi"/>
          <w:sz w:val="24"/>
          <w:szCs w:val="24"/>
        </w:rPr>
        <w:t xml:space="preserve">Celle relative au </w:t>
      </w:r>
      <w:r w:rsidRPr="00E74867">
        <w:rPr>
          <w:rFonts w:asciiTheme="majorBidi" w:hAnsiTheme="majorBidi" w:cstheme="majorBidi"/>
          <w:i/>
          <w:iCs/>
          <w:sz w:val="24"/>
          <w:szCs w:val="24"/>
        </w:rPr>
        <w:t>réel</w:t>
      </w:r>
      <w:r w:rsidRPr="00E74867">
        <w:rPr>
          <w:rFonts w:asciiTheme="majorBidi" w:hAnsiTheme="majorBidi" w:cstheme="majorBidi"/>
          <w:sz w:val="24"/>
          <w:szCs w:val="24"/>
        </w:rPr>
        <w:t xml:space="preserve"> (les faits, les vérités et les présomptions)</w:t>
      </w:r>
    </w:p>
    <w:p w:rsidR="00E74867" w:rsidRPr="00E74867" w:rsidRDefault="00E74867" w:rsidP="00E74867">
      <w:pPr>
        <w:numPr>
          <w:ilvl w:val="0"/>
          <w:numId w:val="3"/>
        </w:numPr>
        <w:spacing w:after="0" w:line="240" w:lineRule="auto"/>
        <w:ind w:left="0"/>
        <w:rPr>
          <w:rFonts w:asciiTheme="majorBidi" w:hAnsiTheme="majorBidi" w:cstheme="majorBidi"/>
          <w:sz w:val="24"/>
          <w:szCs w:val="24"/>
        </w:rPr>
      </w:pPr>
      <w:r w:rsidRPr="00E74867">
        <w:rPr>
          <w:rFonts w:asciiTheme="majorBidi" w:hAnsiTheme="majorBidi" w:cstheme="majorBidi"/>
          <w:sz w:val="24"/>
          <w:szCs w:val="24"/>
        </w:rPr>
        <w:t xml:space="preserve">Celle relative au </w:t>
      </w:r>
      <w:r w:rsidRPr="00E74867">
        <w:rPr>
          <w:rFonts w:asciiTheme="majorBidi" w:hAnsiTheme="majorBidi" w:cstheme="majorBidi"/>
          <w:i/>
          <w:iCs/>
          <w:sz w:val="24"/>
          <w:szCs w:val="24"/>
        </w:rPr>
        <w:t>préférable</w:t>
      </w:r>
      <w:r w:rsidRPr="00E74867">
        <w:rPr>
          <w:rFonts w:asciiTheme="majorBidi" w:hAnsiTheme="majorBidi" w:cstheme="majorBidi"/>
          <w:sz w:val="24"/>
          <w:szCs w:val="24"/>
        </w:rPr>
        <w:t xml:space="preserve"> (les valeurs, les hiérarchies et les lieux du préférable.</w:t>
      </w:r>
    </w:p>
    <w:p w:rsidR="00E74867" w:rsidRPr="00E74867" w:rsidRDefault="00E74867" w:rsidP="00E74867">
      <w:pPr>
        <w:spacing w:after="0" w:line="240" w:lineRule="auto"/>
        <w:rPr>
          <w:rFonts w:asciiTheme="majorBidi" w:hAnsiTheme="majorBidi" w:cstheme="majorBidi"/>
          <w:sz w:val="24"/>
          <w:szCs w:val="24"/>
        </w:rPr>
      </w:pPr>
      <w:r w:rsidRPr="00E74867">
        <w:rPr>
          <w:rFonts w:asciiTheme="majorBidi" w:hAnsiTheme="majorBidi" w:cstheme="majorBidi"/>
          <w:sz w:val="24"/>
          <w:szCs w:val="24"/>
        </w:rPr>
        <w:t>Les types d’objet d’accord</w:t>
      </w:r>
    </w:p>
    <w:p w:rsidR="00C16E8A" w:rsidRPr="00C16E8A" w:rsidRDefault="00E74867" w:rsidP="00E74867">
      <w:pPr>
        <w:numPr>
          <w:ilvl w:val="0"/>
          <w:numId w:val="4"/>
        </w:numPr>
        <w:spacing w:after="0" w:line="240" w:lineRule="auto"/>
        <w:ind w:left="0"/>
        <w:rPr>
          <w:rFonts w:asciiTheme="majorBidi" w:hAnsiTheme="majorBidi" w:cstheme="majorBidi"/>
          <w:sz w:val="24"/>
          <w:szCs w:val="24"/>
        </w:rPr>
      </w:pPr>
      <w:r w:rsidRPr="00E74867">
        <w:rPr>
          <w:rFonts w:asciiTheme="majorBidi" w:hAnsiTheme="majorBidi" w:cstheme="majorBidi"/>
          <w:sz w:val="24"/>
          <w:szCs w:val="24"/>
        </w:rPr>
        <w:t>Les faits et les vérités</w:t>
      </w:r>
      <w:r w:rsidR="00C16E8A">
        <w:rPr>
          <w:rFonts w:asciiTheme="majorBidi" w:hAnsiTheme="majorBidi" w:cstheme="majorBidi"/>
          <w:i/>
          <w:iCs/>
          <w:sz w:val="24"/>
          <w:szCs w:val="24"/>
        </w:rPr>
        <w:t xml:space="preserve"> : </w:t>
      </w:r>
    </w:p>
    <w:p w:rsidR="00C16E8A" w:rsidRDefault="00C16E8A" w:rsidP="00C16E8A">
      <w:pPr>
        <w:spacing w:after="0" w:line="240" w:lineRule="auto"/>
        <w:ind w:left="1134" w:right="1134"/>
        <w:rPr>
          <w:rFonts w:asciiTheme="majorBidi" w:hAnsiTheme="majorBidi" w:cstheme="majorBidi"/>
          <w:i/>
          <w:iCs/>
          <w:sz w:val="24"/>
          <w:szCs w:val="24"/>
        </w:rPr>
      </w:pPr>
      <w:r w:rsidRPr="00E74867">
        <w:rPr>
          <w:rFonts w:asciiTheme="majorBidi" w:hAnsiTheme="majorBidi" w:cstheme="majorBidi"/>
          <w:i/>
          <w:iCs/>
          <w:sz w:val="24"/>
          <w:szCs w:val="24"/>
        </w:rPr>
        <w:t>Ce</w:t>
      </w:r>
      <w:r w:rsidR="00E74867" w:rsidRPr="00E74867">
        <w:rPr>
          <w:rFonts w:asciiTheme="majorBidi" w:hAnsiTheme="majorBidi" w:cstheme="majorBidi"/>
          <w:i/>
          <w:iCs/>
          <w:sz w:val="24"/>
          <w:szCs w:val="24"/>
        </w:rPr>
        <w:t xml:space="preserve"> qui est commun à plusieurs êtres pensants et pourrait être commun à tous</w:t>
      </w:r>
      <w:r w:rsidR="00E74867" w:rsidRPr="00E74867">
        <w:rPr>
          <w:rFonts w:asciiTheme="majorBidi" w:hAnsiTheme="majorBidi" w:cstheme="majorBidi"/>
          <w:i/>
          <w:iCs/>
          <w:sz w:val="24"/>
          <w:szCs w:val="24"/>
          <w:vertAlign w:val="superscript"/>
        </w:rPr>
        <w:footnoteReference w:id="3"/>
      </w:r>
      <w:r w:rsidR="00E74867" w:rsidRPr="00E74867">
        <w:rPr>
          <w:rFonts w:asciiTheme="majorBidi" w:hAnsiTheme="majorBidi" w:cstheme="majorBidi"/>
          <w:i/>
          <w:iCs/>
          <w:sz w:val="24"/>
          <w:szCs w:val="24"/>
        </w:rPr>
        <w:t>.</w:t>
      </w:r>
    </w:p>
    <w:p w:rsidR="00E74867" w:rsidRPr="00E74867" w:rsidRDefault="00E74867" w:rsidP="00C16E8A">
      <w:pPr>
        <w:spacing w:after="0" w:line="240" w:lineRule="auto"/>
        <w:rPr>
          <w:rFonts w:asciiTheme="majorBidi" w:hAnsiTheme="majorBidi" w:cstheme="majorBidi"/>
          <w:sz w:val="24"/>
          <w:szCs w:val="24"/>
        </w:rPr>
      </w:pPr>
      <w:r w:rsidRPr="00E74867">
        <w:rPr>
          <w:rFonts w:asciiTheme="majorBidi" w:hAnsiTheme="majorBidi" w:cstheme="majorBidi"/>
          <w:i/>
          <w:iCs/>
          <w:sz w:val="24"/>
          <w:szCs w:val="24"/>
        </w:rPr>
        <w:t xml:space="preserve"> </w:t>
      </w:r>
      <w:r w:rsidR="00C16E8A" w:rsidRPr="00E74867">
        <w:rPr>
          <w:rFonts w:asciiTheme="majorBidi" w:hAnsiTheme="majorBidi" w:cstheme="majorBidi"/>
          <w:sz w:val="24"/>
          <w:szCs w:val="24"/>
        </w:rPr>
        <w:t>Cela</w:t>
      </w:r>
      <w:r w:rsidRPr="00E74867">
        <w:rPr>
          <w:rFonts w:asciiTheme="majorBidi" w:hAnsiTheme="majorBidi" w:cstheme="majorBidi"/>
          <w:sz w:val="24"/>
          <w:szCs w:val="24"/>
        </w:rPr>
        <w:t xml:space="preserve"> suggère immédiatement l’accord de l’auditoire universel.la manière de concevoir cet auditoire, les incarnations de cet auditoire que l’on reconnait, seront donc déterminants pour décider de ce qui, dans tel ou tel cas sera considéré comme un fait et qui se caractérise par une adhésion de l’auditoire universel, adhésion telle qu’il soit inutile de la renforcer. Le fait comme prémisse est un fait non controversé.</w:t>
      </w:r>
    </w:p>
    <w:p w:rsidR="00C16E8A" w:rsidRDefault="00E74867" w:rsidP="00C16E8A">
      <w:pPr>
        <w:numPr>
          <w:ilvl w:val="0"/>
          <w:numId w:val="4"/>
        </w:numPr>
        <w:spacing w:after="0" w:line="240" w:lineRule="auto"/>
        <w:ind w:left="0"/>
        <w:rPr>
          <w:rFonts w:asciiTheme="majorBidi" w:hAnsiTheme="majorBidi" w:cstheme="majorBidi"/>
          <w:sz w:val="24"/>
          <w:szCs w:val="24"/>
        </w:rPr>
      </w:pPr>
      <w:r w:rsidRPr="00E74867">
        <w:rPr>
          <w:rFonts w:asciiTheme="majorBidi" w:hAnsiTheme="majorBidi" w:cstheme="majorBidi"/>
          <w:sz w:val="24"/>
          <w:szCs w:val="24"/>
        </w:rPr>
        <w:t>Les présomptions (présumer. Opinion fondée sur la vraisemblance)</w:t>
      </w:r>
      <w:r w:rsidR="00C16E8A">
        <w:rPr>
          <w:rFonts w:asciiTheme="majorBidi" w:hAnsiTheme="majorBidi" w:cstheme="majorBidi"/>
          <w:sz w:val="24"/>
          <w:szCs w:val="24"/>
        </w:rPr>
        <w:t> </w:t>
      </w:r>
    </w:p>
    <w:p w:rsidR="00E74867" w:rsidRDefault="00E74867" w:rsidP="00C16E8A">
      <w:pPr>
        <w:spacing w:after="0" w:line="240" w:lineRule="auto"/>
        <w:rPr>
          <w:rFonts w:asciiTheme="majorBidi" w:hAnsiTheme="majorBidi" w:cstheme="majorBidi"/>
          <w:sz w:val="24"/>
          <w:szCs w:val="24"/>
        </w:rPr>
      </w:pPr>
      <w:r w:rsidRPr="00C16E8A">
        <w:rPr>
          <w:rFonts w:asciiTheme="majorBidi" w:hAnsiTheme="majorBidi" w:cstheme="majorBidi"/>
          <w:sz w:val="24"/>
          <w:szCs w:val="24"/>
        </w:rPr>
        <w:t xml:space="preserve"> </w:t>
      </w:r>
      <w:r w:rsidR="00C16E8A" w:rsidRPr="00C16E8A">
        <w:rPr>
          <w:rFonts w:asciiTheme="majorBidi" w:hAnsiTheme="majorBidi" w:cstheme="majorBidi"/>
          <w:sz w:val="24"/>
          <w:szCs w:val="24"/>
        </w:rPr>
        <w:t>Outre</w:t>
      </w:r>
      <w:r w:rsidRPr="00C16E8A">
        <w:rPr>
          <w:rFonts w:asciiTheme="majorBidi" w:hAnsiTheme="majorBidi" w:cstheme="majorBidi"/>
          <w:sz w:val="24"/>
          <w:szCs w:val="24"/>
        </w:rPr>
        <w:t xml:space="preserve"> les faits et les vérités, tous les auditoires admettent des présomptions. Celles-ci jouissent également de l’accord universel, toutefois l’adhésion aux présomptions n’est pas maximum, on s’attend à ce que cette adhésion soit renforcée, à un moment donné, par d’autres éléments</w:t>
      </w:r>
      <w:r w:rsidR="00C16E8A">
        <w:rPr>
          <w:rFonts w:asciiTheme="majorBidi" w:hAnsiTheme="majorBidi" w:cstheme="majorBidi"/>
          <w:sz w:val="24"/>
          <w:szCs w:val="24"/>
        </w:rPr>
        <w:t xml:space="preserve"> (valeurs, lieux communs, etc.). </w:t>
      </w:r>
    </w:p>
    <w:p w:rsidR="00C16E8A" w:rsidRPr="00402EBE" w:rsidRDefault="00C16E8A" w:rsidP="00C16E8A">
      <w:pPr>
        <w:spacing w:after="0" w:line="240" w:lineRule="auto"/>
        <w:rPr>
          <w:rFonts w:asciiTheme="majorBidi" w:hAnsiTheme="majorBidi" w:cstheme="majorBidi"/>
          <w:b/>
          <w:bCs/>
          <w:sz w:val="24"/>
          <w:szCs w:val="24"/>
        </w:rPr>
      </w:pPr>
      <w:r w:rsidRPr="00C16E8A">
        <w:rPr>
          <w:rFonts w:asciiTheme="majorBidi" w:hAnsiTheme="majorBidi" w:cstheme="majorBidi"/>
          <w:b/>
          <w:bCs/>
          <w:sz w:val="24"/>
          <w:szCs w:val="24"/>
        </w:rPr>
        <w:t>Types</w:t>
      </w:r>
      <w:r>
        <w:rPr>
          <w:rFonts w:asciiTheme="majorBidi" w:hAnsiTheme="majorBidi" w:cstheme="majorBidi"/>
          <w:sz w:val="24"/>
          <w:szCs w:val="24"/>
        </w:rPr>
        <w:t xml:space="preserve"> </w:t>
      </w:r>
      <w:r w:rsidRPr="00C16E8A">
        <w:rPr>
          <w:rFonts w:asciiTheme="majorBidi" w:hAnsiTheme="majorBidi" w:cstheme="majorBidi"/>
          <w:b/>
          <w:bCs/>
          <w:sz w:val="24"/>
          <w:szCs w:val="24"/>
        </w:rPr>
        <w:t>de</w:t>
      </w:r>
      <w:r>
        <w:rPr>
          <w:rFonts w:asciiTheme="majorBidi" w:hAnsiTheme="majorBidi" w:cstheme="majorBidi"/>
          <w:sz w:val="24"/>
          <w:szCs w:val="24"/>
        </w:rPr>
        <w:t xml:space="preserve"> </w:t>
      </w:r>
      <w:r w:rsidRPr="00C16E8A">
        <w:rPr>
          <w:rFonts w:asciiTheme="majorBidi" w:hAnsiTheme="majorBidi" w:cstheme="majorBidi"/>
          <w:b/>
          <w:bCs/>
          <w:sz w:val="24"/>
          <w:szCs w:val="24"/>
        </w:rPr>
        <w:t>syllogismes</w:t>
      </w:r>
    </w:p>
    <w:p w:rsidR="00402EBE" w:rsidRPr="00402EBE" w:rsidRDefault="00402EBE" w:rsidP="00E74867">
      <w:pPr>
        <w:spacing w:after="0" w:line="240" w:lineRule="auto"/>
        <w:rPr>
          <w:rFonts w:asciiTheme="majorBidi" w:hAnsiTheme="majorBidi" w:cstheme="majorBidi"/>
          <w:sz w:val="24"/>
          <w:szCs w:val="24"/>
        </w:rPr>
      </w:pPr>
      <w:r w:rsidRPr="00402EBE">
        <w:rPr>
          <w:rFonts w:asciiTheme="majorBidi" w:hAnsiTheme="majorBidi" w:cstheme="majorBidi"/>
          <w:sz w:val="24"/>
          <w:szCs w:val="24"/>
        </w:rPr>
        <w:t xml:space="preserve">On distingue généralement deux formes de composition de syllogismes, par coordination ou par subordination ; la première forme, concaténation ou enchainement de syllogismes, correspond au </w:t>
      </w:r>
      <w:r w:rsidRPr="00402EBE">
        <w:rPr>
          <w:rFonts w:asciiTheme="majorBidi" w:hAnsiTheme="majorBidi" w:cstheme="majorBidi"/>
          <w:i/>
          <w:iCs/>
          <w:sz w:val="24"/>
          <w:szCs w:val="24"/>
        </w:rPr>
        <w:t>sorite</w:t>
      </w:r>
      <w:r w:rsidRPr="00402EBE">
        <w:rPr>
          <w:rFonts w:asciiTheme="majorBidi" w:hAnsiTheme="majorBidi" w:cstheme="majorBidi"/>
          <w:sz w:val="24"/>
          <w:szCs w:val="24"/>
        </w:rPr>
        <w:t xml:space="preserve"> ; la seconde, structure d’enchâssement, à </w:t>
      </w:r>
      <w:r w:rsidRPr="00402EBE">
        <w:rPr>
          <w:rFonts w:asciiTheme="majorBidi" w:hAnsiTheme="majorBidi" w:cstheme="majorBidi"/>
          <w:i/>
          <w:iCs/>
          <w:sz w:val="24"/>
          <w:szCs w:val="24"/>
        </w:rPr>
        <w:t>l’épichérème</w:t>
      </w:r>
      <w:r w:rsidRPr="00402EBE">
        <w:rPr>
          <w:rFonts w:asciiTheme="majorBidi" w:hAnsiTheme="majorBidi" w:cstheme="majorBidi"/>
          <w:sz w:val="24"/>
          <w:szCs w:val="24"/>
        </w:rPr>
        <w:t>.</w:t>
      </w:r>
      <w:r w:rsidR="00C16E8A">
        <w:rPr>
          <w:rFonts w:asciiTheme="majorBidi" w:hAnsiTheme="majorBidi" w:cstheme="majorBidi"/>
          <w:sz w:val="24"/>
          <w:szCs w:val="24"/>
        </w:rPr>
        <w:t xml:space="preserve"> Une troisième forme qui peut combiner plusieurs compositions le </w:t>
      </w:r>
      <w:r w:rsidR="00C16E8A" w:rsidRPr="00C16E8A">
        <w:rPr>
          <w:rFonts w:asciiTheme="majorBidi" w:hAnsiTheme="majorBidi" w:cstheme="majorBidi"/>
          <w:i/>
          <w:iCs/>
          <w:sz w:val="24"/>
          <w:szCs w:val="24"/>
        </w:rPr>
        <w:t>paralogisme</w:t>
      </w:r>
      <w:r w:rsidR="00C16E8A">
        <w:rPr>
          <w:rFonts w:asciiTheme="majorBidi" w:hAnsiTheme="majorBidi" w:cstheme="majorBidi"/>
          <w:sz w:val="24"/>
          <w:szCs w:val="24"/>
        </w:rPr>
        <w:t xml:space="preserve">. </w:t>
      </w:r>
    </w:p>
    <w:p w:rsidR="00402EBE" w:rsidRDefault="00402EBE" w:rsidP="00E74867">
      <w:pPr>
        <w:spacing w:after="0" w:line="240" w:lineRule="auto"/>
        <w:rPr>
          <w:rFonts w:asciiTheme="majorBidi" w:hAnsiTheme="majorBidi" w:cstheme="majorBidi"/>
          <w:b/>
          <w:bCs/>
          <w:sz w:val="24"/>
          <w:szCs w:val="24"/>
        </w:rPr>
      </w:pPr>
      <w:r w:rsidRPr="00402EBE">
        <w:rPr>
          <w:rFonts w:asciiTheme="majorBidi" w:hAnsiTheme="majorBidi" w:cstheme="majorBidi"/>
          <w:b/>
          <w:bCs/>
          <w:sz w:val="24"/>
          <w:szCs w:val="24"/>
        </w:rPr>
        <w:t>Le sorite</w:t>
      </w:r>
    </w:p>
    <w:p w:rsidR="0046555A" w:rsidRDefault="0046555A" w:rsidP="00E74867">
      <w:p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 xml:space="preserve">Le </w:t>
      </w:r>
      <w:r w:rsidR="00402EBE">
        <w:rPr>
          <w:rFonts w:asciiTheme="majorBidi" w:hAnsiTheme="majorBidi" w:cstheme="majorBidi"/>
          <w:sz w:val="24"/>
          <w:szCs w:val="24"/>
        </w:rPr>
        <w:t>sorite, encore appelé gradation,</w:t>
      </w:r>
      <w:r>
        <w:rPr>
          <w:rFonts w:asciiTheme="majorBidi" w:hAnsiTheme="majorBidi" w:cstheme="majorBidi"/>
          <w:sz w:val="24"/>
          <w:szCs w:val="24"/>
        </w:rPr>
        <w:t xml:space="preserve"> est un raisonnement qui e fond sur un prérequis : il présuppose chez l’orateur la connaissance préalable de la chaîne substitutive où l’argumentateur fait approuver à son interlocuteur une première proposition d’apparence anodine, le contraint à consentir aux suivantes. Cette forme du raisonnement joue de la dimension implicite du sen langagier.</w:t>
      </w:r>
    </w:p>
    <w:p w:rsidR="00402EBE" w:rsidRDefault="00402EBE" w:rsidP="00E74867">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46555A">
        <w:rPr>
          <w:rFonts w:asciiTheme="majorBidi" w:hAnsiTheme="majorBidi" w:cstheme="majorBidi"/>
          <w:sz w:val="24"/>
          <w:szCs w:val="24"/>
        </w:rPr>
        <w:t>Soit</w:t>
      </w:r>
      <w:r>
        <w:rPr>
          <w:rFonts w:asciiTheme="majorBidi" w:hAnsiTheme="majorBidi" w:cstheme="majorBidi"/>
          <w:sz w:val="24"/>
          <w:szCs w:val="24"/>
        </w:rPr>
        <w:t xml:space="preserve"> l’exemple suivant :</w:t>
      </w:r>
    </w:p>
    <w:p w:rsidR="00402EBE" w:rsidRDefault="00402EBE" w:rsidP="0046555A">
      <w:pPr>
        <w:spacing w:after="0" w:line="240" w:lineRule="auto"/>
        <w:ind w:left="1134" w:right="1134"/>
        <w:rPr>
          <w:rFonts w:asciiTheme="majorBidi" w:hAnsiTheme="majorBidi" w:cstheme="majorBidi"/>
          <w:sz w:val="24"/>
          <w:szCs w:val="24"/>
        </w:rPr>
      </w:pPr>
      <w:r w:rsidRPr="00391171">
        <w:rPr>
          <w:rFonts w:asciiTheme="majorBidi" w:hAnsiTheme="majorBidi" w:cstheme="majorBidi"/>
          <w:i/>
          <w:iCs/>
          <w:sz w:val="24"/>
          <w:szCs w:val="24"/>
        </w:rPr>
        <w:t>Les avares sont plein de désir ; ceux qui sont pleins de désir manquent de beaucoup de choses parce qu’il est impossible qu’ils satisfassent tous leurs désirs ; ceux qui manquent de ce qu’ils désirent sont misérables : donc les avares ont misérables</w:t>
      </w:r>
      <w:r>
        <w:rPr>
          <w:rFonts w:asciiTheme="majorBidi" w:hAnsiTheme="majorBidi" w:cstheme="majorBidi"/>
          <w:sz w:val="24"/>
          <w:szCs w:val="24"/>
        </w:rPr>
        <w:t>.</w:t>
      </w:r>
    </w:p>
    <w:p w:rsidR="00402EBE" w:rsidRDefault="00402EBE" w:rsidP="00E74867">
      <w:pPr>
        <w:spacing w:after="0" w:line="240" w:lineRule="auto"/>
        <w:rPr>
          <w:rFonts w:asciiTheme="majorBidi" w:hAnsiTheme="majorBidi" w:cstheme="majorBidi"/>
          <w:sz w:val="24"/>
          <w:szCs w:val="24"/>
        </w:rPr>
      </w:pPr>
      <w:r>
        <w:rPr>
          <w:rFonts w:asciiTheme="majorBidi" w:hAnsiTheme="majorBidi" w:cstheme="majorBidi"/>
          <w:sz w:val="24"/>
          <w:szCs w:val="24"/>
        </w:rPr>
        <w:t>Le principe du sorite est la substitution successive de prédicats (être pleins de désirs</w:t>
      </w:r>
      <w:r w:rsidR="00391171">
        <w:rPr>
          <w:rFonts w:asciiTheme="majorBidi" w:hAnsiTheme="majorBidi" w:cstheme="majorBidi"/>
          <w:sz w:val="24"/>
          <w:szCs w:val="24"/>
        </w:rPr>
        <w:t xml:space="preserve"> = </w:t>
      </w:r>
      <w:r>
        <w:rPr>
          <w:rFonts w:asciiTheme="majorBidi" w:hAnsiTheme="majorBidi" w:cstheme="majorBidi"/>
          <w:sz w:val="24"/>
          <w:szCs w:val="24"/>
        </w:rPr>
        <w:t xml:space="preserve"> ne pas </w:t>
      </w:r>
      <w:r w:rsidR="00561D02">
        <w:rPr>
          <w:rFonts w:asciiTheme="majorBidi" w:hAnsiTheme="majorBidi" w:cstheme="majorBidi"/>
          <w:sz w:val="24"/>
          <w:szCs w:val="24"/>
        </w:rPr>
        <w:t>pouvoir</w:t>
      </w:r>
      <w:r>
        <w:rPr>
          <w:rFonts w:asciiTheme="majorBidi" w:hAnsiTheme="majorBidi" w:cstheme="majorBidi"/>
          <w:sz w:val="24"/>
          <w:szCs w:val="24"/>
        </w:rPr>
        <w:t xml:space="preserve"> satisfaire tous ses désirs</w:t>
      </w:r>
      <w:r w:rsidR="00391171">
        <w:rPr>
          <w:rFonts w:asciiTheme="majorBidi" w:hAnsiTheme="majorBidi" w:cstheme="majorBidi"/>
          <w:sz w:val="24"/>
          <w:szCs w:val="24"/>
        </w:rPr>
        <w:t xml:space="preserve"> = </w:t>
      </w:r>
      <w:r w:rsidR="00561D02">
        <w:rPr>
          <w:rFonts w:asciiTheme="majorBidi" w:hAnsiTheme="majorBidi" w:cstheme="majorBidi"/>
          <w:sz w:val="24"/>
          <w:szCs w:val="24"/>
        </w:rPr>
        <w:t xml:space="preserve"> manque de beaucoup de choses</w:t>
      </w:r>
      <w:r w:rsidR="00A8666C">
        <w:rPr>
          <w:rFonts w:asciiTheme="majorBidi" w:hAnsiTheme="majorBidi" w:cstheme="majorBidi"/>
          <w:sz w:val="24"/>
          <w:szCs w:val="24"/>
        </w:rPr>
        <w:t>) jusqu’</w:t>
      </w:r>
      <w:r w:rsidR="00561D02">
        <w:rPr>
          <w:rFonts w:asciiTheme="majorBidi" w:hAnsiTheme="majorBidi" w:cstheme="majorBidi"/>
          <w:sz w:val="24"/>
          <w:szCs w:val="24"/>
        </w:rPr>
        <w:t xml:space="preserve"> obtention de prédicat permettant  la déduction souhaitée (ils sont donc misérables) que les prédicats antérieurs n permettaient pas. Il y a une seule et unique déduction dans le sorite, la série des prédicats étant placés dans un rapport d’équivalence fonctionnelle ; c’est pourquoi nous parlons de coordination, </w:t>
      </w:r>
      <w:r w:rsidR="00A8666C">
        <w:rPr>
          <w:rFonts w:asciiTheme="majorBidi" w:hAnsiTheme="majorBidi" w:cstheme="majorBidi"/>
          <w:sz w:val="24"/>
          <w:szCs w:val="24"/>
        </w:rPr>
        <w:t>même</w:t>
      </w:r>
      <w:r w:rsidR="00561D02">
        <w:rPr>
          <w:rFonts w:asciiTheme="majorBidi" w:hAnsiTheme="majorBidi" w:cstheme="majorBidi"/>
          <w:sz w:val="24"/>
          <w:szCs w:val="24"/>
        </w:rPr>
        <w:t xml:space="preserve"> si certains prédicats sont </w:t>
      </w:r>
      <w:r w:rsidR="00A8666C">
        <w:rPr>
          <w:rFonts w:asciiTheme="majorBidi" w:hAnsiTheme="majorBidi" w:cstheme="majorBidi"/>
          <w:sz w:val="24"/>
          <w:szCs w:val="24"/>
        </w:rPr>
        <w:t>sémantiquement</w:t>
      </w:r>
      <w:r w:rsidR="00561D02">
        <w:rPr>
          <w:rFonts w:asciiTheme="majorBidi" w:hAnsiTheme="majorBidi" w:cstheme="majorBidi"/>
          <w:sz w:val="24"/>
          <w:szCs w:val="24"/>
        </w:rPr>
        <w:t xml:space="preserve"> inclus dans le prédicat précédent</w:t>
      </w:r>
      <w:r w:rsidR="00A80EFA">
        <w:rPr>
          <w:rFonts w:asciiTheme="majorBidi" w:hAnsiTheme="majorBidi" w:cstheme="majorBidi"/>
          <w:sz w:val="24"/>
          <w:szCs w:val="24"/>
        </w:rPr>
        <w:t xml:space="preserve">. Le sorite joue du </w:t>
      </w:r>
      <w:r w:rsidR="00A80EFA" w:rsidRPr="00A80EFA">
        <w:rPr>
          <w:rFonts w:asciiTheme="majorBidi" w:hAnsiTheme="majorBidi" w:cstheme="majorBidi"/>
          <w:i/>
          <w:iCs/>
          <w:sz w:val="24"/>
          <w:szCs w:val="24"/>
        </w:rPr>
        <w:t>pouvoir de l’évidence</w:t>
      </w:r>
      <w:r w:rsidR="00A80EFA">
        <w:rPr>
          <w:rFonts w:asciiTheme="majorBidi" w:hAnsiTheme="majorBidi" w:cstheme="majorBidi"/>
          <w:sz w:val="24"/>
          <w:szCs w:val="24"/>
        </w:rPr>
        <w:t>.</w:t>
      </w:r>
    </w:p>
    <w:p w:rsidR="00E74867" w:rsidRDefault="00E74867" w:rsidP="00E74867">
      <w:pPr>
        <w:spacing w:after="0" w:line="240" w:lineRule="auto"/>
        <w:rPr>
          <w:rFonts w:asciiTheme="majorBidi" w:hAnsiTheme="majorBidi" w:cstheme="majorBidi"/>
          <w:sz w:val="24"/>
          <w:szCs w:val="24"/>
        </w:rPr>
      </w:pPr>
    </w:p>
    <w:p w:rsidR="00561D02" w:rsidRDefault="00561D02" w:rsidP="00E74867">
      <w:pPr>
        <w:spacing w:after="0" w:line="240" w:lineRule="auto"/>
        <w:rPr>
          <w:rFonts w:asciiTheme="majorBidi" w:hAnsiTheme="majorBidi" w:cstheme="majorBidi"/>
          <w:b/>
          <w:bCs/>
          <w:sz w:val="24"/>
          <w:szCs w:val="24"/>
        </w:rPr>
      </w:pPr>
      <w:r w:rsidRPr="00561D02">
        <w:rPr>
          <w:rFonts w:asciiTheme="majorBidi" w:hAnsiTheme="majorBidi" w:cstheme="majorBidi"/>
          <w:b/>
          <w:bCs/>
          <w:sz w:val="24"/>
          <w:szCs w:val="24"/>
        </w:rPr>
        <w:t>L’épichérème</w:t>
      </w:r>
    </w:p>
    <w:p w:rsidR="00561D02" w:rsidRPr="00A80EFA" w:rsidRDefault="00561D02" w:rsidP="00E74867">
      <w:pPr>
        <w:spacing w:after="0" w:line="240" w:lineRule="auto"/>
        <w:rPr>
          <w:rFonts w:asciiTheme="majorBidi" w:hAnsiTheme="majorBidi" w:cstheme="majorBidi"/>
          <w:sz w:val="24"/>
          <w:szCs w:val="24"/>
        </w:rPr>
      </w:pPr>
      <w:r>
        <w:rPr>
          <w:rFonts w:asciiTheme="majorBidi" w:hAnsiTheme="majorBidi" w:cstheme="majorBidi"/>
          <w:sz w:val="24"/>
          <w:szCs w:val="24"/>
        </w:rPr>
        <w:t>Figure de subordination</w:t>
      </w:r>
      <w:r w:rsidR="00391171">
        <w:rPr>
          <w:rFonts w:asciiTheme="majorBidi" w:hAnsiTheme="majorBidi" w:cstheme="majorBidi"/>
          <w:sz w:val="24"/>
          <w:szCs w:val="24"/>
        </w:rPr>
        <w:t>, l’épichérème «  articule aux prémisses du syllogisme des sous-raisonnements destiné à en rendre raison</w:t>
      </w:r>
      <w:r w:rsidR="00391171">
        <w:rPr>
          <w:rStyle w:val="Appelnotedebasdep"/>
          <w:rFonts w:asciiTheme="majorBidi" w:hAnsiTheme="majorBidi" w:cstheme="majorBidi"/>
          <w:sz w:val="24"/>
          <w:szCs w:val="24"/>
        </w:rPr>
        <w:footnoteReference w:id="4"/>
      </w:r>
      <w:r w:rsidR="00391171">
        <w:rPr>
          <w:rFonts w:asciiTheme="majorBidi" w:hAnsiTheme="majorBidi" w:cstheme="majorBidi"/>
          <w:sz w:val="24"/>
          <w:szCs w:val="24"/>
        </w:rPr>
        <w:t> ».</w:t>
      </w:r>
      <w:r w:rsidR="00A80EFA">
        <w:rPr>
          <w:rFonts w:asciiTheme="majorBidi" w:hAnsiTheme="majorBidi" w:cstheme="majorBidi"/>
          <w:sz w:val="24"/>
          <w:szCs w:val="24"/>
        </w:rPr>
        <w:t xml:space="preserve"> L’épichérème multiplie les preuves, il met en avant le travail justificatif du raisonnement qui n’avance rien an le fonder par une déduction syllogistique. Il en résulte une impression de solidité démonstrative. L’épichérème  joue du </w:t>
      </w:r>
      <w:r w:rsidR="00A80EFA" w:rsidRPr="00A80EFA">
        <w:rPr>
          <w:rFonts w:asciiTheme="majorBidi" w:hAnsiTheme="majorBidi" w:cstheme="majorBidi"/>
          <w:i/>
          <w:iCs/>
          <w:sz w:val="24"/>
          <w:szCs w:val="24"/>
        </w:rPr>
        <w:t>pouvoir de l’explication</w:t>
      </w:r>
      <w:r w:rsidR="00A80EFA">
        <w:rPr>
          <w:rFonts w:asciiTheme="majorBidi" w:hAnsiTheme="majorBidi" w:cstheme="majorBidi"/>
          <w:i/>
          <w:iCs/>
          <w:sz w:val="24"/>
          <w:szCs w:val="24"/>
        </w:rPr>
        <w:t xml:space="preserve"> </w:t>
      </w:r>
      <w:r w:rsidR="00A80EFA">
        <w:rPr>
          <w:rFonts w:asciiTheme="majorBidi" w:hAnsiTheme="majorBidi" w:cstheme="majorBidi"/>
          <w:sz w:val="24"/>
          <w:szCs w:val="24"/>
        </w:rPr>
        <w:t xml:space="preserve">comme le montre ci-dessous le plaidoyer de Cicéron en faveur de Milon : </w:t>
      </w:r>
    </w:p>
    <w:p w:rsidR="002928F1" w:rsidRDefault="00A80EFA" w:rsidP="007C52E6">
      <w:pPr>
        <w:spacing w:after="0" w:line="240" w:lineRule="auto"/>
        <w:ind w:left="1134" w:right="1134"/>
        <w:rPr>
          <w:rFonts w:asciiTheme="majorBidi" w:hAnsiTheme="majorBidi" w:cstheme="majorBidi"/>
          <w:sz w:val="24"/>
          <w:szCs w:val="24"/>
        </w:rPr>
      </w:pPr>
      <w:r w:rsidRPr="00A80EFA">
        <w:rPr>
          <w:rFonts w:asciiTheme="majorBidi" w:hAnsiTheme="majorBidi" w:cstheme="majorBidi"/>
          <w:sz w:val="24"/>
          <w:szCs w:val="24"/>
        </w:rPr>
        <w:t xml:space="preserve"> </w:t>
      </w:r>
      <w:r w:rsidRPr="00A80EFA">
        <w:rPr>
          <w:rFonts w:asciiTheme="majorBidi" w:hAnsiTheme="majorBidi" w:cstheme="majorBidi"/>
          <w:i/>
          <w:iCs/>
          <w:sz w:val="24"/>
          <w:szCs w:val="24"/>
        </w:rPr>
        <w:t>Il est permis de tuer quiconque nous tend des embûches pour nous ôter la vie à nous-mêmes : la loi naturelle, le droit des gens, les exemples le prouvent. Or, Clodius a dressé des embûches à Milon : ses armes, ses soldats, ses manœuvres le démontrent. Donc il a été permis à Milon de tuer Clodius.</w:t>
      </w:r>
      <w:r>
        <w:rPr>
          <w:rFonts w:asciiTheme="majorBidi" w:hAnsiTheme="majorBidi" w:cstheme="majorBidi"/>
          <w:sz w:val="24"/>
          <w:szCs w:val="24"/>
        </w:rPr>
        <w:t> </w:t>
      </w:r>
    </w:p>
    <w:p w:rsidR="007C52E6" w:rsidRDefault="007C52E6" w:rsidP="00E74867">
      <w:pPr>
        <w:spacing w:after="0" w:line="240" w:lineRule="auto"/>
        <w:rPr>
          <w:rFonts w:asciiTheme="majorBidi" w:hAnsiTheme="majorBidi" w:cstheme="majorBidi"/>
          <w:sz w:val="24"/>
          <w:szCs w:val="24"/>
        </w:rPr>
      </w:pPr>
    </w:p>
    <w:p w:rsidR="007C52E6" w:rsidRDefault="002928F1" w:rsidP="007C52E6">
      <w:pPr>
        <w:spacing w:after="0" w:line="240" w:lineRule="auto"/>
        <w:rPr>
          <w:rFonts w:asciiTheme="majorBidi" w:hAnsiTheme="majorBidi" w:cstheme="majorBidi"/>
          <w:b/>
          <w:bCs/>
          <w:sz w:val="24"/>
          <w:szCs w:val="24"/>
        </w:rPr>
      </w:pPr>
      <w:r w:rsidRPr="002928F1">
        <w:rPr>
          <w:rFonts w:asciiTheme="majorBidi" w:hAnsiTheme="majorBidi" w:cstheme="majorBidi"/>
          <w:b/>
          <w:bCs/>
          <w:sz w:val="24"/>
          <w:szCs w:val="24"/>
        </w:rPr>
        <w:t>Le</w:t>
      </w:r>
      <w:r>
        <w:rPr>
          <w:rFonts w:asciiTheme="majorBidi" w:hAnsiTheme="majorBidi" w:cstheme="majorBidi"/>
          <w:sz w:val="24"/>
          <w:szCs w:val="24"/>
        </w:rPr>
        <w:t xml:space="preserve"> </w:t>
      </w:r>
      <w:r w:rsidRPr="002928F1">
        <w:rPr>
          <w:rFonts w:asciiTheme="majorBidi" w:hAnsiTheme="majorBidi" w:cstheme="majorBidi"/>
          <w:b/>
          <w:bCs/>
          <w:sz w:val="24"/>
          <w:szCs w:val="24"/>
        </w:rPr>
        <w:t>paralogisme</w:t>
      </w:r>
    </w:p>
    <w:p w:rsidR="00D2723E" w:rsidRDefault="00D2723E" w:rsidP="00E74867">
      <w:pPr>
        <w:spacing w:after="0" w:line="240" w:lineRule="auto"/>
        <w:rPr>
          <w:rFonts w:asciiTheme="majorBidi" w:hAnsiTheme="majorBidi" w:cstheme="majorBidi"/>
          <w:sz w:val="24"/>
          <w:szCs w:val="24"/>
        </w:rPr>
      </w:pPr>
      <w:r w:rsidRPr="00D2723E">
        <w:rPr>
          <w:rFonts w:asciiTheme="majorBidi" w:hAnsiTheme="majorBidi" w:cstheme="majorBidi"/>
          <w:sz w:val="24"/>
          <w:szCs w:val="24"/>
        </w:rPr>
        <w:t xml:space="preserve">Ou </w:t>
      </w:r>
      <w:r w:rsidR="00240EE9">
        <w:rPr>
          <w:rFonts w:asciiTheme="majorBidi" w:hAnsiTheme="majorBidi" w:cstheme="majorBidi"/>
          <w:sz w:val="24"/>
          <w:szCs w:val="24"/>
        </w:rPr>
        <w:t xml:space="preserve">syllogisme </w:t>
      </w:r>
      <w:r w:rsidRPr="00D2723E">
        <w:rPr>
          <w:rFonts w:asciiTheme="majorBidi" w:hAnsiTheme="majorBidi" w:cstheme="majorBidi"/>
          <w:sz w:val="24"/>
          <w:szCs w:val="24"/>
        </w:rPr>
        <w:t xml:space="preserve">fallacieux du latin </w:t>
      </w:r>
      <w:proofErr w:type="spellStart"/>
      <w:r w:rsidRPr="00D2723E">
        <w:rPr>
          <w:rFonts w:asciiTheme="majorBidi" w:hAnsiTheme="majorBidi" w:cstheme="majorBidi"/>
          <w:i/>
          <w:iCs/>
          <w:sz w:val="24"/>
          <w:szCs w:val="24"/>
        </w:rPr>
        <w:t>fallacia</w:t>
      </w:r>
      <w:proofErr w:type="spellEnd"/>
      <w:r w:rsidRPr="00D2723E">
        <w:rPr>
          <w:rFonts w:asciiTheme="majorBidi" w:hAnsiTheme="majorBidi" w:cstheme="majorBidi"/>
          <w:sz w:val="24"/>
          <w:szCs w:val="24"/>
        </w:rPr>
        <w:t>, tromperie, ruse. E</w:t>
      </w:r>
      <w:r w:rsidR="00240EE9">
        <w:rPr>
          <w:rFonts w:asciiTheme="majorBidi" w:hAnsiTheme="majorBidi" w:cstheme="majorBidi"/>
          <w:sz w:val="24"/>
          <w:szCs w:val="24"/>
        </w:rPr>
        <w:t>s</w:t>
      </w:r>
      <w:r w:rsidRPr="00D2723E">
        <w:rPr>
          <w:rFonts w:asciiTheme="majorBidi" w:hAnsiTheme="majorBidi" w:cstheme="majorBidi"/>
          <w:sz w:val="24"/>
          <w:szCs w:val="24"/>
        </w:rPr>
        <w:t>t un syllogisme qui</w:t>
      </w:r>
      <w:r w:rsidR="00240EE9">
        <w:rPr>
          <w:rFonts w:asciiTheme="majorBidi" w:hAnsiTheme="majorBidi" w:cstheme="majorBidi"/>
          <w:sz w:val="24"/>
          <w:szCs w:val="24"/>
        </w:rPr>
        <w:t xml:space="preserve"> présent un raisonnement vicieux, il</w:t>
      </w:r>
      <w:r w:rsidRPr="00D2723E">
        <w:rPr>
          <w:rFonts w:asciiTheme="majorBidi" w:hAnsiTheme="majorBidi" w:cstheme="majorBidi"/>
          <w:sz w:val="24"/>
          <w:szCs w:val="24"/>
        </w:rPr>
        <w:t xml:space="preserve"> semble valide mais en réalité il ne l</w:t>
      </w:r>
      <w:r>
        <w:rPr>
          <w:rFonts w:asciiTheme="majorBidi" w:hAnsiTheme="majorBidi" w:cstheme="majorBidi"/>
          <w:sz w:val="24"/>
          <w:szCs w:val="24"/>
        </w:rPr>
        <w:t>’</w:t>
      </w:r>
      <w:r w:rsidRPr="00D2723E">
        <w:rPr>
          <w:rFonts w:asciiTheme="majorBidi" w:hAnsiTheme="majorBidi" w:cstheme="majorBidi"/>
          <w:sz w:val="24"/>
          <w:szCs w:val="24"/>
        </w:rPr>
        <w:t>est pas.</w:t>
      </w:r>
      <w:r>
        <w:rPr>
          <w:rFonts w:asciiTheme="majorBidi" w:hAnsiTheme="majorBidi" w:cstheme="majorBidi"/>
          <w:sz w:val="24"/>
          <w:szCs w:val="24"/>
        </w:rPr>
        <w:t xml:space="preserve"> Plantin</w:t>
      </w:r>
      <w:r>
        <w:rPr>
          <w:rStyle w:val="Appelnotedebasdep"/>
          <w:rFonts w:asciiTheme="majorBidi" w:hAnsiTheme="majorBidi" w:cstheme="majorBidi"/>
          <w:sz w:val="24"/>
          <w:szCs w:val="24"/>
        </w:rPr>
        <w:footnoteReference w:id="5"/>
      </w:r>
      <w:r>
        <w:rPr>
          <w:rFonts w:asciiTheme="majorBidi" w:hAnsiTheme="majorBidi" w:cstheme="majorBidi"/>
          <w:sz w:val="24"/>
          <w:szCs w:val="24"/>
        </w:rPr>
        <w:t xml:space="preserve"> différencie le sophisme du paralogisme à partir de l’intention de l’orateur : le sophiste commet sciemment une faute qui est censée lui profiter, le paralogisme relève de l’erreur.</w:t>
      </w:r>
      <w:r w:rsidR="00240EE9">
        <w:rPr>
          <w:rFonts w:asciiTheme="majorBidi" w:hAnsiTheme="majorBidi" w:cstheme="majorBidi"/>
          <w:sz w:val="24"/>
          <w:szCs w:val="24"/>
        </w:rPr>
        <w:t xml:space="preserve"> Aristote propose treize catégories qui reposent sur des critères tantôt linguistiques, comme l’ambiguïté, tantôt relatifs aux opérations logiques, comme les relations de causalité. Ci-dessous quelques paralogismes présentés par </w:t>
      </w:r>
      <w:proofErr w:type="spellStart"/>
      <w:r w:rsidR="00240EE9">
        <w:rPr>
          <w:rFonts w:asciiTheme="majorBidi" w:hAnsiTheme="majorBidi" w:cstheme="majorBidi"/>
          <w:sz w:val="24"/>
          <w:szCs w:val="24"/>
        </w:rPr>
        <w:t>Copi</w:t>
      </w:r>
      <w:proofErr w:type="spellEnd"/>
      <w:r w:rsidR="00240EE9">
        <w:rPr>
          <w:rFonts w:asciiTheme="majorBidi" w:hAnsiTheme="majorBidi" w:cstheme="majorBidi"/>
          <w:sz w:val="24"/>
          <w:szCs w:val="24"/>
        </w:rPr>
        <w:t xml:space="preserve"> et </w:t>
      </w:r>
      <w:proofErr w:type="spellStart"/>
      <w:r w:rsidR="00240EE9">
        <w:rPr>
          <w:rFonts w:asciiTheme="majorBidi" w:hAnsiTheme="majorBidi" w:cstheme="majorBidi"/>
          <w:sz w:val="24"/>
          <w:szCs w:val="24"/>
        </w:rPr>
        <w:t>Burges</w:t>
      </w:r>
      <w:proofErr w:type="spellEnd"/>
      <w:r w:rsidR="00240EE9">
        <w:rPr>
          <w:rFonts w:asciiTheme="majorBidi" w:hAnsiTheme="majorBidi" w:cstheme="majorBidi"/>
          <w:sz w:val="24"/>
          <w:szCs w:val="24"/>
        </w:rPr>
        <w:t>-Jackson</w:t>
      </w:r>
      <w:r w:rsidR="00240EE9">
        <w:rPr>
          <w:rStyle w:val="Appelnotedebasdep"/>
          <w:rFonts w:asciiTheme="majorBidi" w:hAnsiTheme="majorBidi" w:cstheme="majorBidi"/>
          <w:sz w:val="24"/>
          <w:szCs w:val="24"/>
        </w:rPr>
        <w:footnoteReference w:id="6"/>
      </w:r>
      <w:r w:rsidR="004A2B1C">
        <w:rPr>
          <w:rFonts w:asciiTheme="majorBidi" w:hAnsiTheme="majorBidi" w:cstheme="majorBidi"/>
          <w:sz w:val="24"/>
          <w:szCs w:val="24"/>
        </w:rPr>
        <w:t xml:space="preserve"> et rapportés par Ruth Amossy :</w:t>
      </w:r>
    </w:p>
    <w:p w:rsidR="004A2B1C" w:rsidRDefault="004A2B1C" w:rsidP="00E74867">
      <w:pPr>
        <w:pStyle w:val="Paragraphedeliste"/>
        <w:numPr>
          <w:ilvl w:val="0"/>
          <w:numId w:val="1"/>
        </w:numPr>
        <w:spacing w:after="0" w:line="240" w:lineRule="auto"/>
        <w:ind w:left="0"/>
        <w:rPr>
          <w:rFonts w:asciiTheme="majorBidi" w:hAnsiTheme="majorBidi" w:cstheme="majorBidi"/>
          <w:sz w:val="24"/>
          <w:szCs w:val="24"/>
        </w:rPr>
      </w:pPr>
      <w:r w:rsidRPr="00EE07A8">
        <w:rPr>
          <w:rFonts w:asciiTheme="majorBidi" w:hAnsiTheme="majorBidi" w:cstheme="majorBidi"/>
          <w:b/>
          <w:bCs/>
          <w:sz w:val="24"/>
          <w:szCs w:val="24"/>
        </w:rPr>
        <w:t>L’équivoque</w:t>
      </w:r>
      <w:r>
        <w:rPr>
          <w:rFonts w:asciiTheme="majorBidi" w:hAnsiTheme="majorBidi" w:cstheme="majorBidi"/>
          <w:sz w:val="24"/>
          <w:szCs w:val="24"/>
        </w:rPr>
        <w:t xml:space="preserve"> est un paralogisme d’origine langagière puisqu’il repose sur une ambigüité. Ex. </w:t>
      </w:r>
    </w:p>
    <w:p w:rsidR="004A2B1C" w:rsidRDefault="004A2B1C" w:rsidP="00E74867">
      <w:pPr>
        <w:pStyle w:val="Paragraphedeliste"/>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Le pouvoir tend à corrompre</w:t>
      </w:r>
    </w:p>
    <w:p w:rsidR="004A2B1C" w:rsidRDefault="004A2B1C" w:rsidP="00E74867">
      <w:pPr>
        <w:pStyle w:val="Paragraphedeliste"/>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Le savoir est un pouvoir</w:t>
      </w:r>
    </w:p>
    <w:p w:rsidR="004A2B1C" w:rsidRDefault="004A2B1C" w:rsidP="00E74867">
      <w:pPr>
        <w:pStyle w:val="Paragraphedeliste"/>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Donc le savoir tend à corrompre</w:t>
      </w:r>
    </w:p>
    <w:p w:rsidR="004A2B1C" w:rsidRDefault="004A2B1C" w:rsidP="00E74867">
      <w:pPr>
        <w:pStyle w:val="Paragraphedeliste"/>
        <w:spacing w:after="0" w:line="240" w:lineRule="auto"/>
        <w:ind w:left="0"/>
        <w:rPr>
          <w:rFonts w:asciiTheme="majorBidi" w:hAnsiTheme="majorBidi" w:cstheme="majorBidi"/>
          <w:sz w:val="24"/>
          <w:szCs w:val="24"/>
        </w:rPr>
      </w:pPr>
      <w:r>
        <w:rPr>
          <w:rFonts w:asciiTheme="majorBidi" w:hAnsiTheme="majorBidi" w:cstheme="majorBidi"/>
          <w:sz w:val="24"/>
          <w:szCs w:val="24"/>
        </w:rPr>
        <w:t xml:space="preserve">Le vice réside dans le sens du mot « pouvoir » qui signifie (capacité à contrôler et commander les autres) </w:t>
      </w:r>
      <w:r w:rsidR="00A8666C">
        <w:rPr>
          <w:rFonts w:asciiTheme="majorBidi" w:hAnsiTheme="majorBidi" w:cstheme="majorBidi"/>
          <w:sz w:val="24"/>
          <w:szCs w:val="24"/>
        </w:rPr>
        <w:t>dans la première prémisse, et (capacité à contrôler les choses) dans la deuxième prémisse.</w:t>
      </w:r>
    </w:p>
    <w:p w:rsidR="00A8666C" w:rsidRDefault="00A8666C" w:rsidP="00E74867">
      <w:pPr>
        <w:pStyle w:val="Paragraphedeliste"/>
        <w:spacing w:after="0" w:line="240" w:lineRule="auto"/>
        <w:ind w:left="0"/>
        <w:rPr>
          <w:rFonts w:asciiTheme="majorBidi" w:hAnsiTheme="majorBidi" w:cstheme="majorBidi"/>
          <w:sz w:val="24"/>
          <w:szCs w:val="24"/>
        </w:rPr>
      </w:pPr>
      <w:r>
        <w:rPr>
          <w:rFonts w:asciiTheme="majorBidi" w:hAnsiTheme="majorBidi" w:cstheme="majorBidi"/>
          <w:sz w:val="24"/>
          <w:szCs w:val="24"/>
        </w:rPr>
        <w:lastRenderedPageBreak/>
        <w:t>Dans le même ordre d’idée, on trouve l’amphibolie</w:t>
      </w:r>
      <w:r>
        <w:rPr>
          <w:rStyle w:val="Appelnotedebasdep"/>
          <w:rFonts w:asciiTheme="majorBidi" w:hAnsiTheme="majorBidi" w:cstheme="majorBidi"/>
          <w:sz w:val="24"/>
          <w:szCs w:val="24"/>
        </w:rPr>
        <w:footnoteReference w:id="7"/>
      </w:r>
      <w:r>
        <w:rPr>
          <w:rFonts w:asciiTheme="majorBidi" w:hAnsiTheme="majorBidi" w:cstheme="majorBidi"/>
          <w:sz w:val="24"/>
          <w:szCs w:val="24"/>
        </w:rPr>
        <w:t>, ou équivoque grammatical.</w:t>
      </w:r>
    </w:p>
    <w:p w:rsidR="00EE07A8" w:rsidRDefault="00EE07A8" w:rsidP="00E74867">
      <w:pPr>
        <w:pStyle w:val="Paragraphedeliste"/>
        <w:numPr>
          <w:ilvl w:val="0"/>
          <w:numId w:val="1"/>
        </w:numPr>
        <w:spacing w:after="0" w:line="240" w:lineRule="auto"/>
        <w:ind w:left="0"/>
        <w:rPr>
          <w:rFonts w:asciiTheme="majorBidi" w:hAnsiTheme="majorBidi" w:cstheme="majorBidi"/>
          <w:sz w:val="24"/>
          <w:szCs w:val="24"/>
        </w:rPr>
      </w:pPr>
      <w:r>
        <w:rPr>
          <w:rFonts w:asciiTheme="majorBidi" w:hAnsiTheme="majorBidi" w:cstheme="majorBidi"/>
          <w:sz w:val="24"/>
          <w:szCs w:val="24"/>
        </w:rPr>
        <w:t xml:space="preserve">Le </w:t>
      </w:r>
      <w:r w:rsidRPr="00A93CF7">
        <w:rPr>
          <w:rFonts w:asciiTheme="majorBidi" w:hAnsiTheme="majorBidi" w:cstheme="majorBidi"/>
          <w:b/>
          <w:bCs/>
          <w:sz w:val="24"/>
          <w:szCs w:val="24"/>
        </w:rPr>
        <w:t>cercle vicieux</w:t>
      </w:r>
      <w:r>
        <w:rPr>
          <w:rFonts w:asciiTheme="majorBidi" w:hAnsiTheme="majorBidi" w:cstheme="majorBidi"/>
          <w:sz w:val="24"/>
          <w:szCs w:val="24"/>
        </w:rPr>
        <w:t xml:space="preserve"> consiste à poser comme prémisses ce qui </w:t>
      </w:r>
      <w:r w:rsidR="00A93CF7">
        <w:rPr>
          <w:rFonts w:asciiTheme="majorBidi" w:hAnsiTheme="majorBidi" w:cstheme="majorBidi"/>
          <w:sz w:val="24"/>
          <w:szCs w:val="24"/>
        </w:rPr>
        <w:t>est</w:t>
      </w:r>
      <w:r>
        <w:rPr>
          <w:rFonts w:asciiTheme="majorBidi" w:hAnsiTheme="majorBidi" w:cstheme="majorBidi"/>
          <w:sz w:val="24"/>
          <w:szCs w:val="24"/>
        </w:rPr>
        <w:t xml:space="preserve"> en fait la conclusion. Ex : l’argument proposé à un </w:t>
      </w:r>
      <w:r w:rsidR="00A93CF7">
        <w:rPr>
          <w:rFonts w:asciiTheme="majorBidi" w:hAnsiTheme="majorBidi" w:cstheme="majorBidi"/>
          <w:sz w:val="24"/>
          <w:szCs w:val="24"/>
        </w:rPr>
        <w:t>athée</w:t>
      </w:r>
      <w:r>
        <w:rPr>
          <w:rFonts w:asciiTheme="majorBidi" w:hAnsiTheme="majorBidi" w:cstheme="majorBidi"/>
          <w:sz w:val="24"/>
          <w:szCs w:val="24"/>
        </w:rPr>
        <w:t> :</w:t>
      </w:r>
      <w:r w:rsidR="00A93CF7">
        <w:rPr>
          <w:rFonts w:asciiTheme="majorBidi" w:hAnsiTheme="majorBidi" w:cstheme="majorBidi"/>
          <w:sz w:val="24"/>
          <w:szCs w:val="24"/>
        </w:rPr>
        <w:t xml:space="preserve"> D</w:t>
      </w:r>
      <w:r>
        <w:rPr>
          <w:rFonts w:asciiTheme="majorBidi" w:hAnsiTheme="majorBidi" w:cstheme="majorBidi"/>
          <w:sz w:val="24"/>
          <w:szCs w:val="24"/>
        </w:rPr>
        <w:t xml:space="preserve">ieu </w:t>
      </w:r>
      <w:r w:rsidR="00A93CF7">
        <w:rPr>
          <w:rFonts w:asciiTheme="majorBidi" w:hAnsiTheme="majorBidi" w:cstheme="majorBidi"/>
          <w:sz w:val="24"/>
          <w:szCs w:val="24"/>
        </w:rPr>
        <w:t>existe</w:t>
      </w:r>
      <w:r>
        <w:rPr>
          <w:rFonts w:asciiTheme="majorBidi" w:hAnsiTheme="majorBidi" w:cstheme="majorBidi"/>
          <w:sz w:val="24"/>
          <w:szCs w:val="24"/>
        </w:rPr>
        <w:t xml:space="preserve"> parce que la Bible l’affirme et la Bible doit être crue puisqu’elle est la parole de Dieu.</w:t>
      </w:r>
    </w:p>
    <w:p w:rsidR="00EE07A8" w:rsidRDefault="00EE07A8" w:rsidP="00E74867">
      <w:pPr>
        <w:pStyle w:val="Paragraphedeliste"/>
        <w:numPr>
          <w:ilvl w:val="0"/>
          <w:numId w:val="1"/>
        </w:numPr>
        <w:spacing w:after="0" w:line="240" w:lineRule="auto"/>
        <w:ind w:left="0"/>
        <w:rPr>
          <w:rFonts w:asciiTheme="majorBidi" w:hAnsiTheme="majorBidi" w:cstheme="majorBidi"/>
          <w:sz w:val="24"/>
          <w:szCs w:val="24"/>
        </w:rPr>
      </w:pPr>
      <w:r>
        <w:rPr>
          <w:rFonts w:asciiTheme="majorBidi" w:hAnsiTheme="majorBidi" w:cstheme="majorBidi"/>
          <w:sz w:val="24"/>
          <w:szCs w:val="24"/>
        </w:rPr>
        <w:t xml:space="preserve">La </w:t>
      </w:r>
      <w:r w:rsidR="00A93CF7" w:rsidRPr="00A93CF7">
        <w:rPr>
          <w:rFonts w:asciiTheme="majorBidi" w:hAnsiTheme="majorBidi" w:cstheme="majorBidi"/>
          <w:b/>
          <w:bCs/>
          <w:sz w:val="24"/>
          <w:szCs w:val="24"/>
        </w:rPr>
        <w:t>question</w:t>
      </w:r>
      <w:r w:rsidRPr="00A93CF7">
        <w:rPr>
          <w:rFonts w:asciiTheme="majorBidi" w:hAnsiTheme="majorBidi" w:cstheme="majorBidi"/>
          <w:b/>
          <w:bCs/>
          <w:sz w:val="24"/>
          <w:szCs w:val="24"/>
        </w:rPr>
        <w:t xml:space="preserve"> complexe</w:t>
      </w:r>
      <w:r>
        <w:rPr>
          <w:rFonts w:asciiTheme="majorBidi" w:hAnsiTheme="majorBidi" w:cstheme="majorBidi"/>
          <w:sz w:val="24"/>
          <w:szCs w:val="24"/>
        </w:rPr>
        <w:t xml:space="preserve"> elle comprend des présupposés qui offrent déjà une réponse. (</w:t>
      </w:r>
      <w:r w:rsidR="00A93CF7">
        <w:rPr>
          <w:rFonts w:asciiTheme="majorBidi" w:hAnsiTheme="majorBidi" w:cstheme="majorBidi"/>
          <w:sz w:val="24"/>
          <w:szCs w:val="24"/>
        </w:rPr>
        <w:t>à</w:t>
      </w:r>
      <w:r>
        <w:rPr>
          <w:rFonts w:asciiTheme="majorBidi" w:hAnsiTheme="majorBidi" w:cstheme="majorBidi"/>
          <w:sz w:val="24"/>
          <w:szCs w:val="24"/>
        </w:rPr>
        <w:t xml:space="preserve"> quel moment avez-vous pris la </w:t>
      </w:r>
      <w:r w:rsidR="00A93CF7">
        <w:rPr>
          <w:rFonts w:asciiTheme="majorBidi" w:hAnsiTheme="majorBidi" w:cstheme="majorBidi"/>
          <w:sz w:val="24"/>
          <w:szCs w:val="24"/>
        </w:rPr>
        <w:t>décision</w:t>
      </w:r>
      <w:r>
        <w:rPr>
          <w:rFonts w:asciiTheme="majorBidi" w:hAnsiTheme="majorBidi" w:cstheme="majorBidi"/>
          <w:sz w:val="24"/>
          <w:szCs w:val="24"/>
        </w:rPr>
        <w:t xml:space="preserve"> de tuer </w:t>
      </w:r>
      <w:r w:rsidR="00A93CF7">
        <w:rPr>
          <w:rFonts w:asciiTheme="majorBidi" w:hAnsiTheme="majorBidi" w:cstheme="majorBidi"/>
          <w:sz w:val="24"/>
          <w:szCs w:val="24"/>
        </w:rPr>
        <w:t>votre</w:t>
      </w:r>
      <w:r>
        <w:rPr>
          <w:rFonts w:asciiTheme="majorBidi" w:hAnsiTheme="majorBidi" w:cstheme="majorBidi"/>
          <w:sz w:val="24"/>
          <w:szCs w:val="24"/>
        </w:rPr>
        <w:t xml:space="preserve"> femme ?)</w:t>
      </w:r>
    </w:p>
    <w:p w:rsidR="00EE07A8" w:rsidRDefault="00EE07A8" w:rsidP="00E74867">
      <w:pPr>
        <w:pStyle w:val="Paragraphedeliste"/>
        <w:numPr>
          <w:ilvl w:val="0"/>
          <w:numId w:val="1"/>
        </w:numPr>
        <w:spacing w:after="0" w:line="240" w:lineRule="auto"/>
        <w:ind w:left="0"/>
        <w:rPr>
          <w:rFonts w:asciiTheme="majorBidi" w:hAnsiTheme="majorBidi" w:cstheme="majorBidi"/>
          <w:sz w:val="24"/>
          <w:szCs w:val="24"/>
        </w:rPr>
      </w:pPr>
      <w:r>
        <w:rPr>
          <w:rFonts w:asciiTheme="majorBidi" w:hAnsiTheme="majorBidi" w:cstheme="majorBidi"/>
          <w:sz w:val="24"/>
          <w:szCs w:val="24"/>
        </w:rPr>
        <w:t xml:space="preserve">La </w:t>
      </w:r>
      <w:r w:rsidRPr="00A93CF7">
        <w:rPr>
          <w:rFonts w:asciiTheme="majorBidi" w:hAnsiTheme="majorBidi" w:cstheme="majorBidi"/>
          <w:b/>
          <w:bCs/>
          <w:sz w:val="24"/>
          <w:szCs w:val="24"/>
        </w:rPr>
        <w:t xml:space="preserve">fausse </w:t>
      </w:r>
      <w:r w:rsidR="00A93CF7" w:rsidRPr="00A93CF7">
        <w:rPr>
          <w:rFonts w:asciiTheme="majorBidi" w:hAnsiTheme="majorBidi" w:cstheme="majorBidi"/>
          <w:b/>
          <w:bCs/>
          <w:sz w:val="24"/>
          <w:szCs w:val="24"/>
        </w:rPr>
        <w:t>dichotomie</w:t>
      </w:r>
      <w:r>
        <w:rPr>
          <w:rFonts w:asciiTheme="majorBidi" w:hAnsiTheme="majorBidi" w:cstheme="majorBidi"/>
          <w:sz w:val="24"/>
          <w:szCs w:val="24"/>
        </w:rPr>
        <w:t xml:space="preserve"> (ou…ou) : il faut hausser </w:t>
      </w:r>
      <w:r w:rsidR="00A93CF7">
        <w:rPr>
          <w:rFonts w:asciiTheme="majorBidi" w:hAnsiTheme="majorBidi" w:cstheme="majorBidi"/>
          <w:sz w:val="24"/>
          <w:szCs w:val="24"/>
        </w:rPr>
        <w:t>les impôts</w:t>
      </w:r>
      <w:r>
        <w:rPr>
          <w:rFonts w:asciiTheme="majorBidi" w:hAnsiTheme="majorBidi" w:cstheme="majorBidi"/>
          <w:sz w:val="24"/>
          <w:szCs w:val="24"/>
        </w:rPr>
        <w:t xml:space="preserve"> ou le baiser (alors qu’on peut très bien les laisser tels quels).</w:t>
      </w:r>
    </w:p>
    <w:p w:rsidR="00EE07A8" w:rsidRDefault="00EE07A8" w:rsidP="00E74867">
      <w:pPr>
        <w:pStyle w:val="Paragraphedeliste"/>
        <w:numPr>
          <w:ilvl w:val="0"/>
          <w:numId w:val="1"/>
        </w:numPr>
        <w:spacing w:after="0" w:line="240" w:lineRule="auto"/>
        <w:ind w:left="0"/>
        <w:rPr>
          <w:rFonts w:asciiTheme="majorBidi" w:hAnsiTheme="majorBidi" w:cstheme="majorBidi"/>
          <w:sz w:val="24"/>
          <w:szCs w:val="24"/>
        </w:rPr>
      </w:pPr>
      <w:r>
        <w:rPr>
          <w:rFonts w:asciiTheme="majorBidi" w:hAnsiTheme="majorBidi" w:cstheme="majorBidi"/>
          <w:sz w:val="24"/>
          <w:szCs w:val="24"/>
        </w:rPr>
        <w:t xml:space="preserve">La </w:t>
      </w:r>
      <w:r w:rsidRPr="00A93CF7">
        <w:rPr>
          <w:rFonts w:asciiTheme="majorBidi" w:hAnsiTheme="majorBidi" w:cstheme="majorBidi"/>
          <w:b/>
          <w:bCs/>
          <w:sz w:val="24"/>
          <w:szCs w:val="24"/>
        </w:rPr>
        <w:t>non-pertinence</w:t>
      </w:r>
      <w:r>
        <w:rPr>
          <w:rFonts w:asciiTheme="majorBidi" w:hAnsiTheme="majorBidi" w:cstheme="majorBidi"/>
          <w:sz w:val="24"/>
          <w:szCs w:val="24"/>
        </w:rPr>
        <w:t xml:space="preserve"> (ou </w:t>
      </w:r>
      <w:r w:rsidR="00A93CF7">
        <w:rPr>
          <w:rFonts w:asciiTheme="majorBidi" w:hAnsiTheme="majorBidi" w:cstheme="majorBidi"/>
          <w:sz w:val="24"/>
          <w:szCs w:val="24"/>
        </w:rPr>
        <w:t>paralogisme</w:t>
      </w:r>
      <w:r>
        <w:rPr>
          <w:rFonts w:asciiTheme="majorBidi" w:hAnsiTheme="majorBidi" w:cstheme="majorBidi"/>
          <w:sz w:val="24"/>
          <w:szCs w:val="24"/>
        </w:rPr>
        <w:t xml:space="preserve"> dit du hareng rouge), qui consiste à distraire l’auditeur du point </w:t>
      </w:r>
      <w:r w:rsidR="00A93CF7">
        <w:rPr>
          <w:rFonts w:asciiTheme="majorBidi" w:hAnsiTheme="majorBidi" w:cstheme="majorBidi"/>
          <w:sz w:val="24"/>
          <w:szCs w:val="24"/>
        </w:rPr>
        <w:t>discuté</w:t>
      </w:r>
      <w:r>
        <w:rPr>
          <w:rFonts w:asciiTheme="majorBidi" w:hAnsiTheme="majorBidi" w:cstheme="majorBidi"/>
          <w:sz w:val="24"/>
          <w:szCs w:val="24"/>
        </w:rPr>
        <w:t>.</w:t>
      </w:r>
    </w:p>
    <w:p w:rsidR="00EE07A8" w:rsidRDefault="00EE07A8" w:rsidP="00E74867">
      <w:pPr>
        <w:pStyle w:val="Paragraphedeliste"/>
        <w:numPr>
          <w:ilvl w:val="0"/>
          <w:numId w:val="1"/>
        </w:numPr>
        <w:spacing w:after="0" w:line="240" w:lineRule="auto"/>
        <w:ind w:left="0"/>
        <w:rPr>
          <w:rFonts w:asciiTheme="majorBidi" w:hAnsiTheme="majorBidi" w:cstheme="majorBidi"/>
          <w:sz w:val="24"/>
          <w:szCs w:val="24"/>
        </w:rPr>
      </w:pPr>
      <w:r w:rsidRPr="00A93CF7">
        <w:rPr>
          <w:rFonts w:asciiTheme="majorBidi" w:hAnsiTheme="majorBidi" w:cstheme="majorBidi"/>
          <w:b/>
          <w:bCs/>
          <w:sz w:val="24"/>
          <w:szCs w:val="24"/>
        </w:rPr>
        <w:t>L’homme de paille</w:t>
      </w:r>
      <w:r>
        <w:rPr>
          <w:rFonts w:asciiTheme="majorBidi" w:hAnsiTheme="majorBidi" w:cstheme="majorBidi"/>
          <w:sz w:val="24"/>
          <w:szCs w:val="24"/>
        </w:rPr>
        <w:t>, qui consiste à attaquer l’</w:t>
      </w:r>
      <w:r w:rsidR="00A93CF7">
        <w:rPr>
          <w:rFonts w:asciiTheme="majorBidi" w:hAnsiTheme="majorBidi" w:cstheme="majorBidi"/>
          <w:sz w:val="24"/>
          <w:szCs w:val="24"/>
        </w:rPr>
        <w:t>adversaire</w:t>
      </w:r>
      <w:r>
        <w:rPr>
          <w:rFonts w:asciiTheme="majorBidi" w:hAnsiTheme="majorBidi" w:cstheme="majorBidi"/>
          <w:sz w:val="24"/>
          <w:szCs w:val="24"/>
        </w:rPr>
        <w:t xml:space="preserve"> sur un argument qui est en réalité mal </w:t>
      </w:r>
      <w:r w:rsidR="00A93CF7">
        <w:rPr>
          <w:rFonts w:asciiTheme="majorBidi" w:hAnsiTheme="majorBidi" w:cstheme="majorBidi"/>
          <w:sz w:val="24"/>
          <w:szCs w:val="24"/>
        </w:rPr>
        <w:t>compris</w:t>
      </w:r>
      <w:r>
        <w:rPr>
          <w:rFonts w:asciiTheme="majorBidi" w:hAnsiTheme="majorBidi" w:cstheme="majorBidi"/>
          <w:sz w:val="24"/>
          <w:szCs w:val="24"/>
        </w:rPr>
        <w:t xml:space="preserve"> ou mal reconstruit par celui qui le réfute.</w:t>
      </w:r>
    </w:p>
    <w:p w:rsidR="00EE07A8" w:rsidRDefault="00EE07A8" w:rsidP="00E74867">
      <w:pPr>
        <w:pStyle w:val="Paragraphedeliste"/>
        <w:numPr>
          <w:ilvl w:val="0"/>
          <w:numId w:val="1"/>
        </w:numPr>
        <w:spacing w:after="0" w:line="240" w:lineRule="auto"/>
        <w:ind w:left="0"/>
        <w:rPr>
          <w:rFonts w:asciiTheme="majorBidi" w:hAnsiTheme="majorBidi" w:cstheme="majorBidi"/>
          <w:sz w:val="24"/>
          <w:szCs w:val="24"/>
        </w:rPr>
      </w:pPr>
      <w:r>
        <w:rPr>
          <w:rFonts w:asciiTheme="majorBidi" w:hAnsiTheme="majorBidi" w:cstheme="majorBidi"/>
          <w:sz w:val="24"/>
          <w:szCs w:val="24"/>
        </w:rPr>
        <w:t xml:space="preserve">La </w:t>
      </w:r>
      <w:r w:rsidRPr="00A93CF7">
        <w:rPr>
          <w:rFonts w:asciiTheme="majorBidi" w:hAnsiTheme="majorBidi" w:cstheme="majorBidi"/>
          <w:b/>
          <w:bCs/>
          <w:sz w:val="24"/>
          <w:szCs w:val="24"/>
        </w:rPr>
        <w:t>division</w:t>
      </w:r>
      <w:r>
        <w:rPr>
          <w:rFonts w:asciiTheme="majorBidi" w:hAnsiTheme="majorBidi" w:cstheme="majorBidi"/>
          <w:sz w:val="24"/>
          <w:szCs w:val="24"/>
        </w:rPr>
        <w:t xml:space="preserve"> qui </w:t>
      </w:r>
      <w:r w:rsidR="00A93CF7">
        <w:rPr>
          <w:rFonts w:asciiTheme="majorBidi" w:hAnsiTheme="majorBidi" w:cstheme="majorBidi"/>
          <w:sz w:val="24"/>
          <w:szCs w:val="24"/>
        </w:rPr>
        <w:t>consiste</w:t>
      </w:r>
      <w:r>
        <w:rPr>
          <w:rFonts w:asciiTheme="majorBidi" w:hAnsiTheme="majorBidi" w:cstheme="majorBidi"/>
          <w:sz w:val="24"/>
          <w:szCs w:val="24"/>
        </w:rPr>
        <w:t xml:space="preserve"> à </w:t>
      </w:r>
      <w:r w:rsidR="00A93CF7">
        <w:rPr>
          <w:rFonts w:asciiTheme="majorBidi" w:hAnsiTheme="majorBidi" w:cstheme="majorBidi"/>
          <w:sz w:val="24"/>
          <w:szCs w:val="24"/>
        </w:rPr>
        <w:t>transférer</w:t>
      </w:r>
      <w:r>
        <w:rPr>
          <w:rFonts w:asciiTheme="majorBidi" w:hAnsiTheme="majorBidi" w:cstheme="majorBidi"/>
          <w:sz w:val="24"/>
          <w:szCs w:val="24"/>
        </w:rPr>
        <w:t xml:space="preserve"> vers un élément du tout une propriété non transférable de ce tout (mon automobile est lourde, donc chacune des partie qui la </w:t>
      </w:r>
      <w:r w:rsidR="00A93CF7">
        <w:rPr>
          <w:rFonts w:asciiTheme="majorBidi" w:hAnsiTheme="majorBidi" w:cstheme="majorBidi"/>
          <w:sz w:val="24"/>
          <w:szCs w:val="24"/>
        </w:rPr>
        <w:t>composent</w:t>
      </w:r>
      <w:r>
        <w:rPr>
          <w:rFonts w:asciiTheme="majorBidi" w:hAnsiTheme="majorBidi" w:cstheme="majorBidi"/>
          <w:sz w:val="24"/>
          <w:szCs w:val="24"/>
        </w:rPr>
        <w:t xml:space="preserve"> et lourde)</w:t>
      </w:r>
    </w:p>
    <w:p w:rsidR="00EE07A8" w:rsidRDefault="00EE07A8" w:rsidP="00E74867">
      <w:pPr>
        <w:pStyle w:val="Paragraphedeliste"/>
        <w:numPr>
          <w:ilvl w:val="0"/>
          <w:numId w:val="1"/>
        </w:numPr>
        <w:spacing w:after="0" w:line="240" w:lineRule="auto"/>
        <w:ind w:left="0"/>
        <w:rPr>
          <w:rFonts w:asciiTheme="majorBidi" w:hAnsiTheme="majorBidi" w:cstheme="majorBidi"/>
          <w:sz w:val="24"/>
          <w:szCs w:val="24"/>
        </w:rPr>
      </w:pPr>
      <w:r>
        <w:rPr>
          <w:rFonts w:asciiTheme="majorBidi" w:hAnsiTheme="majorBidi" w:cstheme="majorBidi"/>
          <w:sz w:val="24"/>
          <w:szCs w:val="24"/>
        </w:rPr>
        <w:t xml:space="preserve">La </w:t>
      </w:r>
      <w:r w:rsidRPr="00A93CF7">
        <w:rPr>
          <w:rFonts w:asciiTheme="majorBidi" w:hAnsiTheme="majorBidi" w:cstheme="majorBidi"/>
          <w:b/>
          <w:bCs/>
          <w:sz w:val="24"/>
          <w:szCs w:val="24"/>
        </w:rPr>
        <w:t>généralisation abusive</w:t>
      </w:r>
    </w:p>
    <w:p w:rsidR="00EE07A8" w:rsidRDefault="00EE07A8" w:rsidP="00E74867">
      <w:pPr>
        <w:pStyle w:val="Paragraphedeliste"/>
        <w:numPr>
          <w:ilvl w:val="0"/>
          <w:numId w:val="1"/>
        </w:numPr>
        <w:spacing w:after="0" w:line="240" w:lineRule="auto"/>
        <w:ind w:left="0"/>
        <w:rPr>
          <w:rFonts w:asciiTheme="majorBidi" w:hAnsiTheme="majorBidi" w:cstheme="majorBidi"/>
          <w:sz w:val="24"/>
          <w:szCs w:val="24"/>
        </w:rPr>
      </w:pPr>
      <w:r>
        <w:rPr>
          <w:rFonts w:asciiTheme="majorBidi" w:hAnsiTheme="majorBidi" w:cstheme="majorBidi"/>
          <w:sz w:val="24"/>
          <w:szCs w:val="24"/>
        </w:rPr>
        <w:t xml:space="preserve">La </w:t>
      </w:r>
      <w:r w:rsidRPr="00A93CF7">
        <w:rPr>
          <w:rFonts w:asciiTheme="majorBidi" w:hAnsiTheme="majorBidi" w:cstheme="majorBidi"/>
          <w:b/>
          <w:bCs/>
          <w:sz w:val="24"/>
          <w:szCs w:val="24"/>
        </w:rPr>
        <w:t>fausse</w:t>
      </w:r>
      <w:r>
        <w:rPr>
          <w:rFonts w:asciiTheme="majorBidi" w:hAnsiTheme="majorBidi" w:cstheme="majorBidi"/>
          <w:sz w:val="24"/>
          <w:szCs w:val="24"/>
        </w:rPr>
        <w:t xml:space="preserve"> </w:t>
      </w:r>
      <w:r w:rsidRPr="00A93CF7">
        <w:rPr>
          <w:rFonts w:asciiTheme="majorBidi" w:hAnsiTheme="majorBidi" w:cstheme="majorBidi"/>
          <w:b/>
          <w:bCs/>
          <w:sz w:val="24"/>
          <w:szCs w:val="24"/>
        </w:rPr>
        <w:t>causalité</w:t>
      </w:r>
    </w:p>
    <w:p w:rsidR="00A93CF7" w:rsidRDefault="00A93CF7" w:rsidP="00E74867">
      <w:pPr>
        <w:pStyle w:val="Paragraphedeliste"/>
        <w:numPr>
          <w:ilvl w:val="0"/>
          <w:numId w:val="1"/>
        </w:numPr>
        <w:spacing w:after="0" w:line="240" w:lineRule="auto"/>
        <w:ind w:left="0"/>
        <w:rPr>
          <w:rFonts w:asciiTheme="majorBidi" w:hAnsiTheme="majorBidi" w:cstheme="majorBidi"/>
          <w:sz w:val="24"/>
          <w:szCs w:val="24"/>
        </w:rPr>
      </w:pPr>
      <w:r>
        <w:rPr>
          <w:rFonts w:asciiTheme="majorBidi" w:hAnsiTheme="majorBidi" w:cstheme="majorBidi"/>
          <w:sz w:val="24"/>
          <w:szCs w:val="24"/>
        </w:rPr>
        <w:t xml:space="preserve">L’argument dit de </w:t>
      </w:r>
      <w:r w:rsidRPr="00A93CF7">
        <w:rPr>
          <w:rFonts w:asciiTheme="majorBidi" w:hAnsiTheme="majorBidi" w:cstheme="majorBidi"/>
          <w:b/>
          <w:bCs/>
          <w:sz w:val="24"/>
          <w:szCs w:val="24"/>
        </w:rPr>
        <w:t>la</w:t>
      </w:r>
      <w:r>
        <w:rPr>
          <w:rFonts w:asciiTheme="majorBidi" w:hAnsiTheme="majorBidi" w:cstheme="majorBidi"/>
          <w:sz w:val="24"/>
          <w:szCs w:val="24"/>
        </w:rPr>
        <w:t xml:space="preserve"> </w:t>
      </w:r>
      <w:r w:rsidRPr="00A93CF7">
        <w:rPr>
          <w:rFonts w:asciiTheme="majorBidi" w:hAnsiTheme="majorBidi" w:cstheme="majorBidi"/>
          <w:b/>
          <w:bCs/>
          <w:sz w:val="24"/>
          <w:szCs w:val="24"/>
        </w:rPr>
        <w:t>pente</w:t>
      </w:r>
      <w:r>
        <w:rPr>
          <w:rFonts w:asciiTheme="majorBidi" w:hAnsiTheme="majorBidi" w:cstheme="majorBidi"/>
          <w:sz w:val="24"/>
          <w:szCs w:val="24"/>
        </w:rPr>
        <w:t xml:space="preserve"> </w:t>
      </w:r>
      <w:r w:rsidRPr="00A93CF7">
        <w:rPr>
          <w:rFonts w:asciiTheme="majorBidi" w:hAnsiTheme="majorBidi" w:cstheme="majorBidi"/>
          <w:b/>
          <w:bCs/>
          <w:sz w:val="24"/>
          <w:szCs w:val="24"/>
        </w:rPr>
        <w:t>savonneuse</w:t>
      </w:r>
      <w:r>
        <w:rPr>
          <w:rFonts w:asciiTheme="majorBidi" w:hAnsiTheme="majorBidi" w:cstheme="majorBidi"/>
          <w:sz w:val="24"/>
          <w:szCs w:val="24"/>
        </w:rPr>
        <w:t xml:space="preserve"> (si A, alors on pourra en déduire B, et C, etc. Si on permet à un jeune de fumer, on lui permettra de sortir tard, de boire, de ne pas veiller à son travail).</w:t>
      </w:r>
    </w:p>
    <w:p w:rsidR="00A93CF7" w:rsidRPr="004A2B1C" w:rsidRDefault="00A93CF7" w:rsidP="00E74867">
      <w:pPr>
        <w:pStyle w:val="Paragraphedeliste"/>
        <w:spacing w:after="0" w:line="240" w:lineRule="auto"/>
        <w:ind w:left="0"/>
        <w:rPr>
          <w:rFonts w:asciiTheme="majorBidi" w:hAnsiTheme="majorBidi" w:cstheme="majorBidi"/>
          <w:sz w:val="24"/>
          <w:szCs w:val="24"/>
        </w:rPr>
      </w:pPr>
    </w:p>
    <w:p w:rsidR="00561D02" w:rsidRDefault="00561D02" w:rsidP="00E74867">
      <w:pPr>
        <w:spacing w:after="0" w:line="240" w:lineRule="auto"/>
        <w:rPr>
          <w:rFonts w:asciiTheme="majorBidi" w:hAnsiTheme="majorBidi" w:cstheme="majorBidi"/>
          <w:sz w:val="24"/>
          <w:szCs w:val="24"/>
        </w:rPr>
      </w:pPr>
    </w:p>
    <w:p w:rsidR="00402EBE" w:rsidRDefault="00402EBE" w:rsidP="00E74867">
      <w:pPr>
        <w:spacing w:after="0" w:line="240" w:lineRule="auto"/>
        <w:rPr>
          <w:rFonts w:asciiTheme="majorBidi" w:hAnsiTheme="majorBidi" w:cstheme="majorBidi"/>
          <w:sz w:val="24"/>
          <w:szCs w:val="24"/>
        </w:rPr>
      </w:pPr>
    </w:p>
    <w:p w:rsidR="00402EBE" w:rsidRPr="00402EBE" w:rsidRDefault="00402EBE" w:rsidP="00E74867">
      <w:pPr>
        <w:spacing w:after="0" w:line="240" w:lineRule="auto"/>
        <w:rPr>
          <w:rFonts w:asciiTheme="majorBidi" w:hAnsiTheme="majorBidi" w:cstheme="majorBidi"/>
          <w:sz w:val="24"/>
          <w:szCs w:val="24"/>
        </w:rPr>
      </w:pPr>
      <w:bookmarkStart w:id="0" w:name="_GoBack"/>
      <w:bookmarkEnd w:id="0"/>
    </w:p>
    <w:sectPr w:rsidR="00402EBE" w:rsidRPr="00402EB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FB7" w:rsidRDefault="00115FB7" w:rsidP="00D2723E">
      <w:pPr>
        <w:spacing w:after="0" w:line="240" w:lineRule="auto"/>
      </w:pPr>
      <w:r>
        <w:separator/>
      </w:r>
    </w:p>
  </w:endnote>
  <w:endnote w:type="continuationSeparator" w:id="0">
    <w:p w:rsidR="00115FB7" w:rsidRDefault="00115FB7" w:rsidP="00D2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639272"/>
      <w:docPartObj>
        <w:docPartGallery w:val="Page Numbers (Bottom of Page)"/>
        <w:docPartUnique/>
      </w:docPartObj>
    </w:sdtPr>
    <w:sdtContent>
      <w:p w:rsidR="00C16E8A" w:rsidRDefault="00C16E8A">
        <w:pPr>
          <w:pStyle w:val="Pieddepage"/>
        </w:pPr>
        <w:r>
          <w:fldChar w:fldCharType="begin"/>
        </w:r>
        <w:r>
          <w:instrText>PAGE   \* MERGEFORMAT</w:instrText>
        </w:r>
        <w:r>
          <w:fldChar w:fldCharType="separate"/>
        </w:r>
        <w:r w:rsidR="007C52E6">
          <w:rPr>
            <w:noProof/>
          </w:rPr>
          <w:t>4</w:t>
        </w:r>
        <w:r>
          <w:fldChar w:fldCharType="end"/>
        </w:r>
      </w:p>
    </w:sdtContent>
  </w:sdt>
  <w:p w:rsidR="00C16E8A" w:rsidRDefault="00C16E8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FB7" w:rsidRDefault="00115FB7" w:rsidP="00D2723E">
      <w:pPr>
        <w:spacing w:after="0" w:line="240" w:lineRule="auto"/>
      </w:pPr>
      <w:r>
        <w:separator/>
      </w:r>
    </w:p>
  </w:footnote>
  <w:footnote w:type="continuationSeparator" w:id="0">
    <w:p w:rsidR="00115FB7" w:rsidRDefault="00115FB7" w:rsidP="00D2723E">
      <w:pPr>
        <w:spacing w:after="0" w:line="240" w:lineRule="auto"/>
      </w:pPr>
      <w:r>
        <w:continuationSeparator/>
      </w:r>
    </w:p>
  </w:footnote>
  <w:footnote w:id="1">
    <w:p w:rsidR="00E74867" w:rsidRPr="007C52E6" w:rsidRDefault="00E74867" w:rsidP="00E74867">
      <w:pPr>
        <w:pStyle w:val="Notedebasdepage"/>
        <w:rPr>
          <w:rFonts w:asciiTheme="majorBidi" w:hAnsiTheme="majorBidi" w:cstheme="majorBidi"/>
          <w:sz w:val="22"/>
          <w:szCs w:val="22"/>
        </w:rPr>
      </w:pPr>
      <w:r w:rsidRPr="007C52E6">
        <w:rPr>
          <w:rStyle w:val="Appelnotedebasdep"/>
          <w:rFonts w:asciiTheme="majorBidi" w:hAnsiTheme="majorBidi" w:cstheme="majorBidi"/>
          <w:sz w:val="22"/>
          <w:szCs w:val="22"/>
        </w:rPr>
        <w:footnoteRef/>
      </w:r>
      <w:r w:rsidRPr="007C52E6">
        <w:rPr>
          <w:rFonts w:asciiTheme="majorBidi" w:hAnsiTheme="majorBidi" w:cstheme="majorBidi"/>
          <w:sz w:val="22"/>
          <w:szCs w:val="22"/>
        </w:rPr>
        <w:t xml:space="preserve"> - Ruth Amossy, </w:t>
      </w:r>
      <w:r w:rsidRPr="007C52E6">
        <w:rPr>
          <w:rFonts w:asciiTheme="majorBidi" w:hAnsiTheme="majorBidi" w:cstheme="majorBidi"/>
          <w:i/>
          <w:iCs/>
          <w:sz w:val="22"/>
          <w:szCs w:val="22"/>
        </w:rPr>
        <w:t>L’argumentation dans le discours</w:t>
      </w:r>
      <w:r w:rsidRPr="007C52E6">
        <w:rPr>
          <w:rFonts w:asciiTheme="majorBidi" w:hAnsiTheme="majorBidi" w:cstheme="majorBidi"/>
          <w:sz w:val="22"/>
          <w:szCs w:val="22"/>
        </w:rPr>
        <w:t>, Paris, Armand Colin, 2014, p.147.</w:t>
      </w:r>
    </w:p>
  </w:footnote>
  <w:footnote w:id="2">
    <w:p w:rsidR="00E74867" w:rsidRPr="007C52E6" w:rsidRDefault="00E74867" w:rsidP="007C52E6">
      <w:pPr>
        <w:pStyle w:val="Notedebasdepage"/>
        <w:rPr>
          <w:rFonts w:asciiTheme="majorBidi" w:hAnsiTheme="majorBidi" w:cstheme="majorBidi"/>
          <w:sz w:val="22"/>
          <w:szCs w:val="22"/>
          <w:lang w:val="en-US"/>
        </w:rPr>
      </w:pPr>
      <w:r w:rsidRPr="007C52E6">
        <w:rPr>
          <w:rStyle w:val="Appelnotedebasdep"/>
          <w:rFonts w:asciiTheme="majorBidi" w:hAnsiTheme="majorBidi" w:cstheme="majorBidi"/>
          <w:sz w:val="22"/>
          <w:szCs w:val="22"/>
        </w:rPr>
        <w:footnoteRef/>
      </w:r>
      <w:r w:rsidRPr="007C52E6">
        <w:rPr>
          <w:rFonts w:asciiTheme="majorBidi" w:hAnsiTheme="majorBidi" w:cstheme="majorBidi"/>
          <w:sz w:val="22"/>
          <w:szCs w:val="22"/>
          <w:lang w:val="en-US"/>
        </w:rPr>
        <w:t xml:space="preserve"> - </w:t>
      </w:r>
      <w:r w:rsidR="007C52E6" w:rsidRPr="007C52E6">
        <w:rPr>
          <w:rFonts w:asciiTheme="majorBidi" w:hAnsiTheme="majorBidi" w:cstheme="majorBidi"/>
          <w:sz w:val="22"/>
          <w:szCs w:val="22"/>
          <w:lang w:val="en-US"/>
        </w:rPr>
        <w:t>Ruth Amossy</w:t>
      </w:r>
      <w:r w:rsidR="007C52E6">
        <w:rPr>
          <w:rFonts w:asciiTheme="majorBidi" w:hAnsiTheme="majorBidi" w:cstheme="majorBidi"/>
          <w:sz w:val="22"/>
          <w:szCs w:val="22"/>
          <w:lang w:val="en-US"/>
        </w:rPr>
        <w:t>,</w:t>
      </w:r>
      <w:r w:rsidR="007C52E6" w:rsidRPr="007C52E6">
        <w:rPr>
          <w:rFonts w:asciiTheme="majorBidi" w:hAnsiTheme="majorBidi" w:cstheme="majorBidi"/>
          <w:i/>
          <w:iCs/>
          <w:sz w:val="22"/>
          <w:szCs w:val="22"/>
          <w:lang w:val="en-US"/>
        </w:rPr>
        <w:t xml:space="preserve"> </w:t>
      </w:r>
      <w:proofErr w:type="spellStart"/>
      <w:r w:rsidR="007C52E6" w:rsidRPr="007C52E6">
        <w:rPr>
          <w:rFonts w:asciiTheme="majorBidi" w:hAnsiTheme="majorBidi" w:cstheme="majorBidi"/>
          <w:i/>
          <w:iCs/>
          <w:sz w:val="22"/>
          <w:szCs w:val="22"/>
          <w:lang w:val="en-US"/>
        </w:rPr>
        <w:t>op.ci</w:t>
      </w:r>
      <w:r w:rsidR="007C52E6">
        <w:rPr>
          <w:rFonts w:asciiTheme="majorBidi" w:hAnsiTheme="majorBidi" w:cstheme="majorBidi"/>
          <w:i/>
          <w:iCs/>
          <w:sz w:val="22"/>
          <w:szCs w:val="22"/>
          <w:lang w:val="en-US"/>
        </w:rPr>
        <w:t>t</w:t>
      </w:r>
      <w:proofErr w:type="spellEnd"/>
      <w:r w:rsidR="007C52E6">
        <w:rPr>
          <w:rFonts w:asciiTheme="majorBidi" w:hAnsiTheme="majorBidi" w:cstheme="majorBidi"/>
          <w:i/>
          <w:iCs/>
          <w:sz w:val="22"/>
          <w:szCs w:val="22"/>
          <w:lang w:val="en-US"/>
        </w:rPr>
        <w:t>.</w:t>
      </w:r>
      <w:r w:rsidRPr="007C52E6">
        <w:rPr>
          <w:rFonts w:asciiTheme="majorBidi" w:hAnsiTheme="majorBidi" w:cstheme="majorBidi"/>
          <w:sz w:val="22"/>
          <w:szCs w:val="22"/>
          <w:lang w:val="en-US"/>
        </w:rPr>
        <w:t>., p.149.</w:t>
      </w:r>
    </w:p>
  </w:footnote>
  <w:footnote w:id="3">
    <w:p w:rsidR="00E74867" w:rsidRPr="007C52E6" w:rsidRDefault="00E74867" w:rsidP="00E74867">
      <w:pPr>
        <w:pStyle w:val="Notedebasdepage"/>
        <w:rPr>
          <w:rFonts w:asciiTheme="majorBidi" w:hAnsiTheme="majorBidi" w:cstheme="majorBidi"/>
          <w:sz w:val="22"/>
          <w:szCs w:val="22"/>
        </w:rPr>
      </w:pPr>
      <w:r w:rsidRPr="007C52E6">
        <w:rPr>
          <w:rStyle w:val="Appelnotedebasdep"/>
          <w:rFonts w:asciiTheme="majorBidi" w:hAnsiTheme="majorBidi" w:cstheme="majorBidi"/>
          <w:sz w:val="22"/>
          <w:szCs w:val="22"/>
        </w:rPr>
        <w:footnoteRef/>
      </w:r>
      <w:r w:rsidRPr="007C52E6">
        <w:rPr>
          <w:rFonts w:asciiTheme="majorBidi" w:hAnsiTheme="majorBidi" w:cstheme="majorBidi"/>
          <w:sz w:val="22"/>
          <w:szCs w:val="22"/>
        </w:rPr>
        <w:t xml:space="preserve"> - H. Poincaré, </w:t>
      </w:r>
      <w:r w:rsidRPr="007C52E6">
        <w:rPr>
          <w:rFonts w:asciiTheme="majorBidi" w:hAnsiTheme="majorBidi" w:cstheme="majorBidi"/>
          <w:i/>
          <w:iCs/>
          <w:sz w:val="22"/>
          <w:szCs w:val="22"/>
        </w:rPr>
        <w:t>la valeur de la science</w:t>
      </w:r>
      <w:r w:rsidRPr="007C52E6">
        <w:rPr>
          <w:rFonts w:asciiTheme="majorBidi" w:hAnsiTheme="majorBidi" w:cstheme="majorBidi"/>
          <w:sz w:val="22"/>
          <w:szCs w:val="22"/>
        </w:rPr>
        <w:t>, introduction, p.65.</w:t>
      </w:r>
    </w:p>
  </w:footnote>
  <w:footnote w:id="4">
    <w:p w:rsidR="00391171" w:rsidRPr="007C52E6" w:rsidRDefault="00391171">
      <w:pPr>
        <w:pStyle w:val="Notedebasdepage"/>
        <w:rPr>
          <w:rFonts w:asciiTheme="majorBidi" w:hAnsiTheme="majorBidi" w:cstheme="majorBidi"/>
          <w:sz w:val="22"/>
          <w:szCs w:val="22"/>
        </w:rPr>
      </w:pPr>
      <w:r w:rsidRPr="007C52E6">
        <w:rPr>
          <w:rStyle w:val="Appelnotedebasdep"/>
          <w:rFonts w:asciiTheme="majorBidi" w:hAnsiTheme="majorBidi" w:cstheme="majorBidi"/>
          <w:sz w:val="22"/>
          <w:szCs w:val="22"/>
        </w:rPr>
        <w:footnoteRef/>
      </w:r>
      <w:r w:rsidRPr="007C52E6">
        <w:rPr>
          <w:rFonts w:asciiTheme="majorBidi" w:hAnsiTheme="majorBidi" w:cstheme="majorBidi"/>
          <w:sz w:val="22"/>
          <w:szCs w:val="22"/>
        </w:rPr>
        <w:t xml:space="preserve"> - Angenot Marc, </w:t>
      </w:r>
      <w:r w:rsidRPr="007C52E6">
        <w:rPr>
          <w:rFonts w:asciiTheme="majorBidi" w:hAnsiTheme="majorBidi" w:cstheme="majorBidi"/>
          <w:i/>
          <w:iCs/>
          <w:sz w:val="22"/>
          <w:szCs w:val="22"/>
        </w:rPr>
        <w:t>la Parole pamphlétaire</w:t>
      </w:r>
      <w:r w:rsidRPr="007C52E6">
        <w:rPr>
          <w:rFonts w:asciiTheme="majorBidi" w:hAnsiTheme="majorBidi" w:cstheme="majorBidi"/>
          <w:sz w:val="22"/>
          <w:szCs w:val="22"/>
        </w:rPr>
        <w:t xml:space="preserve">. </w:t>
      </w:r>
      <w:r w:rsidRPr="007C52E6">
        <w:rPr>
          <w:rFonts w:asciiTheme="majorBidi" w:hAnsiTheme="majorBidi" w:cstheme="majorBidi"/>
          <w:i/>
          <w:iCs/>
          <w:sz w:val="22"/>
          <w:szCs w:val="22"/>
        </w:rPr>
        <w:t>Typologie des discours modernes</w:t>
      </w:r>
      <w:r w:rsidRPr="007C52E6">
        <w:rPr>
          <w:rFonts w:asciiTheme="majorBidi" w:hAnsiTheme="majorBidi" w:cstheme="majorBidi"/>
          <w:sz w:val="22"/>
          <w:szCs w:val="22"/>
        </w:rPr>
        <w:t>, Payot, 1982, p159.</w:t>
      </w:r>
    </w:p>
  </w:footnote>
  <w:footnote w:id="5">
    <w:p w:rsidR="00D2723E" w:rsidRPr="007C52E6" w:rsidRDefault="00D2723E">
      <w:pPr>
        <w:pStyle w:val="Notedebasdepage"/>
        <w:rPr>
          <w:rFonts w:asciiTheme="majorBidi" w:hAnsiTheme="majorBidi" w:cstheme="majorBidi"/>
          <w:sz w:val="22"/>
          <w:szCs w:val="22"/>
        </w:rPr>
      </w:pPr>
      <w:r w:rsidRPr="007C52E6">
        <w:rPr>
          <w:rStyle w:val="Appelnotedebasdep"/>
          <w:rFonts w:asciiTheme="majorBidi" w:hAnsiTheme="majorBidi" w:cstheme="majorBidi"/>
          <w:sz w:val="22"/>
          <w:szCs w:val="22"/>
        </w:rPr>
        <w:footnoteRef/>
      </w:r>
      <w:r w:rsidRPr="007C52E6">
        <w:rPr>
          <w:rFonts w:asciiTheme="majorBidi" w:hAnsiTheme="majorBidi" w:cstheme="majorBidi"/>
          <w:sz w:val="22"/>
          <w:szCs w:val="22"/>
        </w:rPr>
        <w:t xml:space="preserve"> - </w:t>
      </w:r>
      <w:r w:rsidR="00240EE9" w:rsidRPr="007C52E6">
        <w:rPr>
          <w:rFonts w:asciiTheme="majorBidi" w:hAnsiTheme="majorBidi" w:cstheme="majorBidi"/>
          <w:sz w:val="22"/>
          <w:szCs w:val="22"/>
        </w:rPr>
        <w:t>Plantin</w:t>
      </w:r>
      <w:r w:rsidRPr="007C52E6">
        <w:rPr>
          <w:rFonts w:asciiTheme="majorBidi" w:hAnsiTheme="majorBidi" w:cstheme="majorBidi"/>
          <w:sz w:val="22"/>
          <w:szCs w:val="22"/>
        </w:rPr>
        <w:t xml:space="preserve"> Christian, « l’argument du paralogisme », </w:t>
      </w:r>
      <w:r w:rsidRPr="007C52E6">
        <w:rPr>
          <w:rFonts w:asciiTheme="majorBidi" w:hAnsiTheme="majorBidi" w:cstheme="majorBidi"/>
          <w:i/>
          <w:iCs/>
          <w:sz w:val="22"/>
          <w:szCs w:val="22"/>
        </w:rPr>
        <w:t>Hermes</w:t>
      </w:r>
      <w:r w:rsidRPr="007C52E6">
        <w:rPr>
          <w:rFonts w:asciiTheme="majorBidi" w:hAnsiTheme="majorBidi" w:cstheme="majorBidi"/>
          <w:sz w:val="22"/>
          <w:szCs w:val="22"/>
        </w:rPr>
        <w:t xml:space="preserve">, </w:t>
      </w:r>
      <w:r w:rsidR="00240EE9" w:rsidRPr="007C52E6">
        <w:rPr>
          <w:rFonts w:asciiTheme="majorBidi" w:hAnsiTheme="majorBidi" w:cstheme="majorBidi"/>
          <w:sz w:val="22"/>
          <w:szCs w:val="22"/>
        </w:rPr>
        <w:t xml:space="preserve">1995, </w:t>
      </w:r>
      <w:r w:rsidRPr="007C52E6">
        <w:rPr>
          <w:rFonts w:asciiTheme="majorBidi" w:hAnsiTheme="majorBidi" w:cstheme="majorBidi"/>
          <w:sz w:val="22"/>
          <w:szCs w:val="22"/>
        </w:rPr>
        <w:t xml:space="preserve">n° 15, </w:t>
      </w:r>
      <w:r w:rsidRPr="007C52E6">
        <w:rPr>
          <w:rFonts w:asciiTheme="majorBidi" w:hAnsiTheme="majorBidi" w:cstheme="majorBidi"/>
          <w:i/>
          <w:iCs/>
          <w:sz w:val="22"/>
          <w:szCs w:val="22"/>
        </w:rPr>
        <w:t>Argumentation et rhétorique</w:t>
      </w:r>
      <w:r w:rsidR="00240EE9" w:rsidRPr="007C52E6">
        <w:rPr>
          <w:rFonts w:asciiTheme="majorBidi" w:hAnsiTheme="majorBidi" w:cstheme="majorBidi"/>
          <w:i/>
          <w:iCs/>
          <w:sz w:val="22"/>
          <w:szCs w:val="22"/>
        </w:rPr>
        <w:t xml:space="preserve"> I</w:t>
      </w:r>
      <w:r w:rsidR="00240EE9" w:rsidRPr="007C52E6">
        <w:rPr>
          <w:rFonts w:asciiTheme="majorBidi" w:hAnsiTheme="majorBidi" w:cstheme="majorBidi"/>
          <w:sz w:val="22"/>
          <w:szCs w:val="22"/>
        </w:rPr>
        <w:t>, p.245-269.</w:t>
      </w:r>
    </w:p>
  </w:footnote>
  <w:footnote w:id="6">
    <w:p w:rsidR="00240EE9" w:rsidRPr="007C52E6" w:rsidRDefault="00240EE9">
      <w:pPr>
        <w:pStyle w:val="Notedebasdepage"/>
        <w:rPr>
          <w:rFonts w:asciiTheme="majorBidi" w:hAnsiTheme="majorBidi" w:cstheme="majorBidi"/>
          <w:sz w:val="22"/>
          <w:szCs w:val="22"/>
          <w:lang w:val="en-US"/>
        </w:rPr>
      </w:pPr>
      <w:r w:rsidRPr="007C52E6">
        <w:rPr>
          <w:rStyle w:val="Appelnotedebasdep"/>
          <w:rFonts w:asciiTheme="majorBidi" w:hAnsiTheme="majorBidi" w:cstheme="majorBidi"/>
          <w:sz w:val="22"/>
          <w:szCs w:val="22"/>
        </w:rPr>
        <w:footnoteRef/>
      </w:r>
      <w:r w:rsidRPr="007C52E6">
        <w:rPr>
          <w:rFonts w:asciiTheme="majorBidi" w:hAnsiTheme="majorBidi" w:cstheme="majorBidi"/>
          <w:sz w:val="22"/>
          <w:szCs w:val="22"/>
          <w:lang w:val="en-US"/>
        </w:rPr>
        <w:t xml:space="preserve"> - </w:t>
      </w:r>
      <w:r w:rsidR="004A2B1C" w:rsidRPr="007C52E6">
        <w:rPr>
          <w:rFonts w:asciiTheme="majorBidi" w:hAnsiTheme="majorBidi" w:cstheme="majorBidi"/>
          <w:sz w:val="22"/>
          <w:szCs w:val="22"/>
          <w:lang w:val="en-US"/>
        </w:rPr>
        <w:t>Ruth Amossy,</w:t>
      </w:r>
      <w:r w:rsidR="007C52E6" w:rsidRPr="007C52E6">
        <w:rPr>
          <w:rFonts w:asciiTheme="majorBidi" w:hAnsiTheme="majorBidi" w:cstheme="majorBidi"/>
          <w:sz w:val="22"/>
          <w:szCs w:val="22"/>
          <w:lang w:val="en-US"/>
        </w:rPr>
        <w:t xml:space="preserve"> </w:t>
      </w:r>
      <w:proofErr w:type="spellStart"/>
      <w:r w:rsidR="007C52E6" w:rsidRPr="007C52E6">
        <w:rPr>
          <w:rFonts w:asciiTheme="majorBidi" w:hAnsiTheme="majorBidi" w:cstheme="majorBidi"/>
          <w:i/>
          <w:iCs/>
          <w:sz w:val="22"/>
          <w:szCs w:val="22"/>
          <w:lang w:val="en-US"/>
        </w:rPr>
        <w:t>op.cit</w:t>
      </w:r>
      <w:proofErr w:type="spellEnd"/>
      <w:r w:rsidR="007C52E6" w:rsidRPr="007C52E6">
        <w:rPr>
          <w:rFonts w:asciiTheme="majorBidi" w:hAnsiTheme="majorBidi" w:cstheme="majorBidi"/>
          <w:sz w:val="22"/>
          <w:szCs w:val="22"/>
          <w:lang w:val="en-US"/>
        </w:rPr>
        <w:t>.,</w:t>
      </w:r>
      <w:r w:rsidR="004A2B1C" w:rsidRPr="007C52E6">
        <w:rPr>
          <w:rFonts w:asciiTheme="majorBidi" w:hAnsiTheme="majorBidi" w:cstheme="majorBidi"/>
          <w:sz w:val="22"/>
          <w:szCs w:val="22"/>
          <w:lang w:val="en-US"/>
        </w:rPr>
        <w:t xml:space="preserve"> p.172</w:t>
      </w:r>
    </w:p>
  </w:footnote>
  <w:footnote w:id="7">
    <w:p w:rsidR="00EE07A8" w:rsidRPr="007C52E6" w:rsidRDefault="00A8666C" w:rsidP="00EE07A8">
      <w:pPr>
        <w:pStyle w:val="Notedebasdepage"/>
        <w:rPr>
          <w:rFonts w:asciiTheme="majorBidi" w:hAnsiTheme="majorBidi" w:cstheme="majorBidi"/>
          <w:i/>
          <w:iCs/>
          <w:sz w:val="22"/>
          <w:szCs w:val="22"/>
        </w:rPr>
      </w:pPr>
      <w:r w:rsidRPr="007C52E6">
        <w:rPr>
          <w:rStyle w:val="Appelnotedebasdep"/>
          <w:rFonts w:asciiTheme="majorBidi" w:hAnsiTheme="majorBidi" w:cstheme="majorBidi"/>
          <w:sz w:val="22"/>
          <w:szCs w:val="22"/>
        </w:rPr>
        <w:footnoteRef/>
      </w:r>
      <w:r w:rsidR="007C52E6">
        <w:rPr>
          <w:rFonts w:asciiTheme="majorBidi" w:hAnsiTheme="majorBidi" w:cstheme="majorBidi"/>
          <w:sz w:val="22"/>
          <w:szCs w:val="22"/>
        </w:rPr>
        <w:t xml:space="preserve"> - I</w:t>
      </w:r>
      <w:r w:rsidRPr="007C52E6">
        <w:rPr>
          <w:rFonts w:asciiTheme="majorBidi" w:hAnsiTheme="majorBidi" w:cstheme="majorBidi"/>
          <w:sz w:val="22"/>
          <w:szCs w:val="22"/>
        </w:rPr>
        <w:t>ndécidabilité au niveau du sen</w:t>
      </w:r>
      <w:r w:rsidR="007C52E6">
        <w:rPr>
          <w:rFonts w:asciiTheme="majorBidi" w:hAnsiTheme="majorBidi" w:cstheme="majorBidi"/>
          <w:sz w:val="22"/>
          <w:szCs w:val="22"/>
        </w:rPr>
        <w:t>s</w:t>
      </w:r>
      <w:r w:rsidRPr="007C52E6">
        <w:rPr>
          <w:rFonts w:asciiTheme="majorBidi" w:hAnsiTheme="majorBidi" w:cstheme="majorBidi"/>
          <w:sz w:val="22"/>
          <w:szCs w:val="22"/>
        </w:rPr>
        <w:t xml:space="preserve"> à cause d’une construction grammaticale</w:t>
      </w:r>
      <w:r w:rsidR="00EE07A8" w:rsidRPr="007C52E6">
        <w:rPr>
          <w:rFonts w:asciiTheme="majorBidi" w:hAnsiTheme="majorBidi" w:cstheme="majorBidi"/>
          <w:sz w:val="22"/>
          <w:szCs w:val="22"/>
        </w:rPr>
        <w:t xml:space="preserve">, ex. </w:t>
      </w:r>
      <w:r w:rsidRPr="007C52E6">
        <w:rPr>
          <w:rFonts w:asciiTheme="majorBidi" w:hAnsiTheme="majorBidi" w:cstheme="majorBidi"/>
          <w:sz w:val="22"/>
          <w:szCs w:val="22"/>
        </w:rPr>
        <w:t xml:space="preserve"> </w:t>
      </w:r>
      <w:r w:rsidR="00EE07A8" w:rsidRPr="007C52E6">
        <w:rPr>
          <w:rFonts w:asciiTheme="majorBidi" w:hAnsiTheme="majorBidi" w:cstheme="majorBidi"/>
          <w:i/>
          <w:iCs/>
          <w:sz w:val="22"/>
          <w:szCs w:val="22"/>
        </w:rPr>
        <w:t>L’enfant parle de ses devoirs à ses parents qui sont difficiles.</w:t>
      </w:r>
    </w:p>
    <w:p w:rsidR="00A8666C" w:rsidRPr="007C52E6" w:rsidRDefault="00A8666C">
      <w:pPr>
        <w:pStyle w:val="Notedebasdepage"/>
        <w:rPr>
          <w:rFonts w:asciiTheme="majorBidi" w:hAnsiTheme="majorBidi" w:cstheme="majorBidi"/>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06A36"/>
    <w:multiLevelType w:val="hybridMultilevel"/>
    <w:tmpl w:val="A37A1C56"/>
    <w:lvl w:ilvl="0" w:tplc="71DA1F4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29342A"/>
    <w:multiLevelType w:val="multilevel"/>
    <w:tmpl w:val="C73E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E4B14"/>
    <w:multiLevelType w:val="hybridMultilevel"/>
    <w:tmpl w:val="9490D976"/>
    <w:lvl w:ilvl="0" w:tplc="47FC1FC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FC1350"/>
    <w:multiLevelType w:val="hybridMultilevel"/>
    <w:tmpl w:val="31168750"/>
    <w:lvl w:ilvl="0" w:tplc="CE12251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6C3F6E"/>
    <w:multiLevelType w:val="hybridMultilevel"/>
    <w:tmpl w:val="34D0895E"/>
    <w:lvl w:ilvl="0" w:tplc="6AFCAB1E">
      <w:start w:val="1"/>
      <w:numFmt w:val="decimal"/>
      <w:lvlText w:val="%1-"/>
      <w:lvlJc w:val="left"/>
      <w:pPr>
        <w:ind w:left="720" w:hanging="360"/>
      </w:pPr>
      <w:rPr>
        <w:rFonts w:asciiTheme="majorBidi" w:eastAsiaTheme="minorHAnsi" w:hAnsiTheme="majorBidi" w:cstheme="maj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3386C8C"/>
    <w:multiLevelType w:val="hybridMultilevel"/>
    <w:tmpl w:val="8018C09C"/>
    <w:lvl w:ilvl="0" w:tplc="D96EFE1C">
      <w:start w:val="1"/>
      <w:numFmt w:val="lowerLetter"/>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FE42067"/>
    <w:multiLevelType w:val="hybridMultilevel"/>
    <w:tmpl w:val="A072D7AA"/>
    <w:lvl w:ilvl="0" w:tplc="48BE330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BE"/>
    <w:rsid w:val="00115FB7"/>
    <w:rsid w:val="00240EE9"/>
    <w:rsid w:val="002928F1"/>
    <w:rsid w:val="00391171"/>
    <w:rsid w:val="003A3D01"/>
    <w:rsid w:val="00402EBE"/>
    <w:rsid w:val="0046555A"/>
    <w:rsid w:val="004A2B1C"/>
    <w:rsid w:val="00561D02"/>
    <w:rsid w:val="007C52E6"/>
    <w:rsid w:val="00A80EFA"/>
    <w:rsid w:val="00A8666C"/>
    <w:rsid w:val="00A93CF7"/>
    <w:rsid w:val="00C16E8A"/>
    <w:rsid w:val="00D2723E"/>
    <w:rsid w:val="00E74867"/>
    <w:rsid w:val="00EE07A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02E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02E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402EBE"/>
    <w:pPr>
      <w:spacing w:after="120"/>
    </w:pPr>
  </w:style>
  <w:style w:type="character" w:customStyle="1" w:styleId="CorpsdetexteCar">
    <w:name w:val="Corps de texte Car"/>
    <w:basedOn w:val="Policepardfaut"/>
    <w:link w:val="Corpsdetexte"/>
    <w:uiPriority w:val="99"/>
    <w:rsid w:val="00402EBE"/>
  </w:style>
  <w:style w:type="character" w:customStyle="1" w:styleId="Titre1Car">
    <w:name w:val="Titre 1 Car"/>
    <w:basedOn w:val="Policepardfaut"/>
    <w:link w:val="Titre1"/>
    <w:uiPriority w:val="9"/>
    <w:rsid w:val="00402EB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02EBE"/>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D2723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2723E"/>
    <w:rPr>
      <w:sz w:val="20"/>
      <w:szCs w:val="20"/>
    </w:rPr>
  </w:style>
  <w:style w:type="character" w:styleId="Appelnotedebasdep">
    <w:name w:val="footnote reference"/>
    <w:basedOn w:val="Policepardfaut"/>
    <w:uiPriority w:val="99"/>
    <w:semiHidden/>
    <w:unhideWhenUsed/>
    <w:rsid w:val="00D2723E"/>
    <w:rPr>
      <w:vertAlign w:val="superscript"/>
    </w:rPr>
  </w:style>
  <w:style w:type="paragraph" w:styleId="Paragraphedeliste">
    <w:name w:val="List Paragraph"/>
    <w:basedOn w:val="Normal"/>
    <w:uiPriority w:val="34"/>
    <w:qFormat/>
    <w:rsid w:val="004A2B1C"/>
    <w:pPr>
      <w:ind w:left="720"/>
      <w:contextualSpacing/>
    </w:pPr>
  </w:style>
  <w:style w:type="character" w:styleId="Lienhypertexte">
    <w:name w:val="Hyperlink"/>
    <w:basedOn w:val="Policepardfaut"/>
    <w:uiPriority w:val="99"/>
    <w:unhideWhenUsed/>
    <w:rsid w:val="00A80EFA"/>
    <w:rPr>
      <w:color w:val="0000FF" w:themeColor="hyperlink"/>
      <w:u w:val="single"/>
    </w:rPr>
  </w:style>
  <w:style w:type="paragraph" w:styleId="En-tte">
    <w:name w:val="header"/>
    <w:basedOn w:val="Normal"/>
    <w:link w:val="En-tteCar"/>
    <w:uiPriority w:val="99"/>
    <w:unhideWhenUsed/>
    <w:rsid w:val="00C16E8A"/>
    <w:pPr>
      <w:tabs>
        <w:tab w:val="center" w:pos="4536"/>
        <w:tab w:val="right" w:pos="9072"/>
      </w:tabs>
      <w:spacing w:after="0" w:line="240" w:lineRule="auto"/>
    </w:pPr>
  </w:style>
  <w:style w:type="character" w:customStyle="1" w:styleId="En-tteCar">
    <w:name w:val="En-tête Car"/>
    <w:basedOn w:val="Policepardfaut"/>
    <w:link w:val="En-tte"/>
    <w:uiPriority w:val="99"/>
    <w:rsid w:val="00C16E8A"/>
  </w:style>
  <w:style w:type="paragraph" w:styleId="Pieddepage">
    <w:name w:val="footer"/>
    <w:basedOn w:val="Normal"/>
    <w:link w:val="PieddepageCar"/>
    <w:uiPriority w:val="99"/>
    <w:unhideWhenUsed/>
    <w:rsid w:val="00C16E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6E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02E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02E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402EBE"/>
    <w:pPr>
      <w:spacing w:after="120"/>
    </w:pPr>
  </w:style>
  <w:style w:type="character" w:customStyle="1" w:styleId="CorpsdetexteCar">
    <w:name w:val="Corps de texte Car"/>
    <w:basedOn w:val="Policepardfaut"/>
    <w:link w:val="Corpsdetexte"/>
    <w:uiPriority w:val="99"/>
    <w:rsid w:val="00402EBE"/>
  </w:style>
  <w:style w:type="character" w:customStyle="1" w:styleId="Titre1Car">
    <w:name w:val="Titre 1 Car"/>
    <w:basedOn w:val="Policepardfaut"/>
    <w:link w:val="Titre1"/>
    <w:uiPriority w:val="9"/>
    <w:rsid w:val="00402EB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02EBE"/>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D2723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2723E"/>
    <w:rPr>
      <w:sz w:val="20"/>
      <w:szCs w:val="20"/>
    </w:rPr>
  </w:style>
  <w:style w:type="character" w:styleId="Appelnotedebasdep">
    <w:name w:val="footnote reference"/>
    <w:basedOn w:val="Policepardfaut"/>
    <w:uiPriority w:val="99"/>
    <w:semiHidden/>
    <w:unhideWhenUsed/>
    <w:rsid w:val="00D2723E"/>
    <w:rPr>
      <w:vertAlign w:val="superscript"/>
    </w:rPr>
  </w:style>
  <w:style w:type="paragraph" w:styleId="Paragraphedeliste">
    <w:name w:val="List Paragraph"/>
    <w:basedOn w:val="Normal"/>
    <w:uiPriority w:val="34"/>
    <w:qFormat/>
    <w:rsid w:val="004A2B1C"/>
    <w:pPr>
      <w:ind w:left="720"/>
      <w:contextualSpacing/>
    </w:pPr>
  </w:style>
  <w:style w:type="character" w:styleId="Lienhypertexte">
    <w:name w:val="Hyperlink"/>
    <w:basedOn w:val="Policepardfaut"/>
    <w:uiPriority w:val="99"/>
    <w:unhideWhenUsed/>
    <w:rsid w:val="00A80EFA"/>
    <w:rPr>
      <w:color w:val="0000FF" w:themeColor="hyperlink"/>
      <w:u w:val="single"/>
    </w:rPr>
  </w:style>
  <w:style w:type="paragraph" w:styleId="En-tte">
    <w:name w:val="header"/>
    <w:basedOn w:val="Normal"/>
    <w:link w:val="En-tteCar"/>
    <w:uiPriority w:val="99"/>
    <w:unhideWhenUsed/>
    <w:rsid w:val="00C16E8A"/>
    <w:pPr>
      <w:tabs>
        <w:tab w:val="center" w:pos="4536"/>
        <w:tab w:val="right" w:pos="9072"/>
      </w:tabs>
      <w:spacing w:after="0" w:line="240" w:lineRule="auto"/>
    </w:pPr>
  </w:style>
  <w:style w:type="character" w:customStyle="1" w:styleId="En-tteCar">
    <w:name w:val="En-tête Car"/>
    <w:basedOn w:val="Policepardfaut"/>
    <w:link w:val="En-tte"/>
    <w:uiPriority w:val="99"/>
    <w:rsid w:val="00C16E8A"/>
  </w:style>
  <w:style w:type="paragraph" w:styleId="Pieddepage">
    <w:name w:val="footer"/>
    <w:basedOn w:val="Normal"/>
    <w:link w:val="PieddepageCar"/>
    <w:uiPriority w:val="99"/>
    <w:unhideWhenUsed/>
    <w:rsid w:val="00C16E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6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35824">
      <w:bodyDiv w:val="1"/>
      <w:marLeft w:val="0"/>
      <w:marRight w:val="0"/>
      <w:marTop w:val="0"/>
      <w:marBottom w:val="0"/>
      <w:divBdr>
        <w:top w:val="none" w:sz="0" w:space="0" w:color="auto"/>
        <w:left w:val="none" w:sz="0" w:space="0" w:color="auto"/>
        <w:bottom w:val="none" w:sz="0" w:space="0" w:color="auto"/>
        <w:right w:val="none" w:sz="0" w:space="0" w:color="auto"/>
      </w:divBdr>
    </w:div>
    <w:div w:id="123373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E4AC4-4E54-4231-8089-6309210F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1545</Words>
  <Characters>8500</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2021-05-02T16:22:00Z</dcterms:created>
  <dcterms:modified xsi:type="dcterms:W3CDTF">2021-05-04T11:42:00Z</dcterms:modified>
</cp:coreProperties>
</file>