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69" w:rsidRPr="00F566FC" w:rsidRDefault="00862812">
      <w:pPr>
        <w:rPr>
          <w:b/>
          <w:bCs/>
          <w:sz w:val="24"/>
          <w:szCs w:val="24"/>
          <w:u w:val="single"/>
        </w:rPr>
      </w:pPr>
      <w:r w:rsidRPr="00F566FC">
        <w:rPr>
          <w:b/>
          <w:bCs/>
          <w:sz w:val="24"/>
          <w:szCs w:val="24"/>
          <w:u w:val="single"/>
        </w:rPr>
        <w:t>Exemple de calcul du coût complet par la méthode ABC :</w:t>
      </w:r>
    </w:p>
    <w:p w:rsidR="00862812" w:rsidRPr="00F566FC" w:rsidRDefault="00862812" w:rsidP="00F566FC">
      <w:pPr>
        <w:jc w:val="both"/>
        <w:rPr>
          <w:sz w:val="24"/>
          <w:szCs w:val="24"/>
        </w:rPr>
      </w:pPr>
      <w:r w:rsidRPr="00F566FC">
        <w:rPr>
          <w:sz w:val="24"/>
          <w:szCs w:val="24"/>
        </w:rPr>
        <w:t>L’entreprise BETA fabrique et commercialise deux types de bicyclette, le modèle standard « x », produit basique, et le modèle de luxe « y », distribué en plus petites quantités.</w:t>
      </w:r>
    </w:p>
    <w:p w:rsidR="00862812" w:rsidRPr="00F566FC" w:rsidRDefault="00862812" w:rsidP="00F566FC">
      <w:pPr>
        <w:jc w:val="both"/>
        <w:rPr>
          <w:sz w:val="24"/>
          <w:szCs w:val="24"/>
        </w:rPr>
      </w:pPr>
      <w:r w:rsidRPr="00F566FC">
        <w:rPr>
          <w:sz w:val="24"/>
          <w:szCs w:val="24"/>
        </w:rPr>
        <w:t>Des informations fournies par la comptabilité de gestion vous sont communiquées ci-dessous :</w:t>
      </w:r>
    </w:p>
    <w:p w:rsidR="00862812" w:rsidRPr="00F566FC" w:rsidRDefault="00862812" w:rsidP="00F566FC">
      <w:pPr>
        <w:jc w:val="both"/>
        <w:rPr>
          <w:sz w:val="24"/>
          <w:szCs w:val="24"/>
        </w:rPr>
      </w:pPr>
      <w:r w:rsidRPr="00F566FC">
        <w:rPr>
          <w:sz w:val="24"/>
          <w:szCs w:val="24"/>
        </w:rPr>
        <w:t xml:space="preserve">Les coûts directs sont respectivement de 550 </w:t>
      </w:r>
      <w:proofErr w:type="spellStart"/>
      <w:r w:rsidRPr="00F566FC">
        <w:rPr>
          <w:sz w:val="24"/>
          <w:szCs w:val="24"/>
        </w:rPr>
        <w:t>dhs</w:t>
      </w:r>
      <w:proofErr w:type="spellEnd"/>
      <w:r w:rsidRPr="00F566FC">
        <w:rPr>
          <w:sz w:val="24"/>
          <w:szCs w:val="24"/>
        </w:rPr>
        <w:t xml:space="preserve"> et 850 </w:t>
      </w:r>
      <w:proofErr w:type="spellStart"/>
      <w:r w:rsidRPr="00F566FC">
        <w:rPr>
          <w:sz w:val="24"/>
          <w:szCs w:val="24"/>
        </w:rPr>
        <w:t>dhs</w:t>
      </w:r>
      <w:proofErr w:type="spellEnd"/>
      <w:r w:rsidRPr="00F566FC">
        <w:rPr>
          <w:sz w:val="24"/>
          <w:szCs w:val="24"/>
        </w:rPr>
        <w:t xml:space="preserve"> pour chaque bicyclette « x » et « y ». </w:t>
      </w:r>
      <w:proofErr w:type="gramStart"/>
      <w:r w:rsidRPr="00F566FC">
        <w:rPr>
          <w:sz w:val="24"/>
          <w:szCs w:val="24"/>
        </w:rPr>
        <w:t>ils</w:t>
      </w:r>
      <w:proofErr w:type="gramEnd"/>
      <w:r w:rsidRPr="00F566FC">
        <w:rPr>
          <w:sz w:val="24"/>
          <w:szCs w:val="24"/>
        </w:rPr>
        <w:t xml:space="preserve"> comprennent, d’une part, 350 </w:t>
      </w:r>
      <w:proofErr w:type="spellStart"/>
      <w:r w:rsidRPr="00F566FC">
        <w:rPr>
          <w:sz w:val="24"/>
          <w:szCs w:val="24"/>
        </w:rPr>
        <w:t>dh</w:t>
      </w:r>
      <w:proofErr w:type="spellEnd"/>
      <w:r w:rsidRPr="00F566FC">
        <w:rPr>
          <w:sz w:val="24"/>
          <w:szCs w:val="24"/>
        </w:rPr>
        <w:t xml:space="preserve"> de composants pour le modèle de base et 550 </w:t>
      </w:r>
      <w:proofErr w:type="spellStart"/>
      <w:r w:rsidRPr="00F566FC">
        <w:rPr>
          <w:sz w:val="24"/>
          <w:szCs w:val="24"/>
        </w:rPr>
        <w:t>dhs</w:t>
      </w:r>
      <w:proofErr w:type="spellEnd"/>
      <w:r w:rsidRPr="00F566FC">
        <w:rPr>
          <w:sz w:val="24"/>
          <w:szCs w:val="24"/>
        </w:rPr>
        <w:t xml:space="preserve"> de composants pour le modèle de luxe. D’autre part, une bicyclette, quel que soit le modèle, nécessite 2 heures de MOD. Le taux horaire est cependant différent : il est respectivement pour le modèle « x » et « y » de 100 </w:t>
      </w:r>
      <w:proofErr w:type="spellStart"/>
      <w:r w:rsidRPr="00F566FC">
        <w:rPr>
          <w:sz w:val="24"/>
          <w:szCs w:val="24"/>
        </w:rPr>
        <w:t>dh</w:t>
      </w:r>
      <w:proofErr w:type="spellEnd"/>
      <w:r w:rsidRPr="00F566FC">
        <w:rPr>
          <w:sz w:val="24"/>
          <w:szCs w:val="24"/>
        </w:rPr>
        <w:t xml:space="preserve"> et 150 </w:t>
      </w:r>
      <w:proofErr w:type="spellStart"/>
      <w:r w:rsidRPr="00F566FC">
        <w:rPr>
          <w:sz w:val="24"/>
          <w:szCs w:val="24"/>
        </w:rPr>
        <w:t>dh</w:t>
      </w:r>
      <w:proofErr w:type="spellEnd"/>
      <w:r w:rsidRPr="00F566FC">
        <w:rPr>
          <w:sz w:val="24"/>
          <w:szCs w:val="24"/>
        </w:rPr>
        <w:t>.</w:t>
      </w:r>
    </w:p>
    <w:p w:rsidR="00862812" w:rsidRPr="00F566FC" w:rsidRDefault="00862812" w:rsidP="00F566FC">
      <w:pPr>
        <w:jc w:val="both"/>
        <w:rPr>
          <w:sz w:val="24"/>
          <w:szCs w:val="24"/>
        </w:rPr>
      </w:pPr>
      <w:r w:rsidRPr="00F566FC">
        <w:rPr>
          <w:sz w:val="24"/>
          <w:szCs w:val="24"/>
        </w:rPr>
        <w:t xml:space="preserve">Durant la période considérée, les charges indirectes se sont élevées à 5210000 </w:t>
      </w:r>
      <w:proofErr w:type="spellStart"/>
      <w:proofErr w:type="gramStart"/>
      <w:r w:rsidRPr="00F566FC">
        <w:rPr>
          <w:sz w:val="24"/>
          <w:szCs w:val="24"/>
        </w:rPr>
        <w:t>dhs</w:t>
      </w:r>
      <w:proofErr w:type="spellEnd"/>
      <w:r w:rsidRPr="00F566FC">
        <w:rPr>
          <w:sz w:val="24"/>
          <w:szCs w:val="24"/>
        </w:rPr>
        <w:t xml:space="preserve"> ,</w:t>
      </w:r>
      <w:proofErr w:type="gramEnd"/>
      <w:r w:rsidRPr="00F566FC">
        <w:rPr>
          <w:sz w:val="24"/>
          <w:szCs w:val="24"/>
        </w:rPr>
        <w:t xml:space="preserve"> les ventes à 10000 bicyclettes « x » et 1500 vélos « y », aux prix respectifs de 1300 </w:t>
      </w:r>
      <w:proofErr w:type="spellStart"/>
      <w:r w:rsidRPr="00F566FC">
        <w:rPr>
          <w:sz w:val="24"/>
          <w:szCs w:val="24"/>
        </w:rPr>
        <w:t>dh</w:t>
      </w:r>
      <w:proofErr w:type="spellEnd"/>
      <w:r w:rsidRPr="00F566FC">
        <w:rPr>
          <w:sz w:val="24"/>
          <w:szCs w:val="24"/>
        </w:rPr>
        <w:t xml:space="preserve"> et de 2300 </w:t>
      </w:r>
      <w:proofErr w:type="spellStart"/>
      <w:r w:rsidRPr="00F566FC">
        <w:rPr>
          <w:sz w:val="24"/>
          <w:szCs w:val="24"/>
        </w:rPr>
        <w:t>dh</w:t>
      </w:r>
      <w:proofErr w:type="spellEnd"/>
      <w:r w:rsidRPr="00F566FC">
        <w:rPr>
          <w:sz w:val="24"/>
          <w:szCs w:val="24"/>
        </w:rPr>
        <w:t>. Aucun stock, en début et fin de période, n’a été constaté.</w:t>
      </w:r>
    </w:p>
    <w:p w:rsidR="00862812" w:rsidRPr="00F566FC" w:rsidRDefault="00862812" w:rsidP="00F566FC">
      <w:pPr>
        <w:jc w:val="both"/>
        <w:rPr>
          <w:sz w:val="24"/>
          <w:szCs w:val="24"/>
        </w:rPr>
      </w:pPr>
      <w:r w:rsidRPr="00F566FC">
        <w:rPr>
          <w:sz w:val="24"/>
          <w:szCs w:val="24"/>
        </w:rPr>
        <w:t>L’analyse des activités de l’entreprise BETA ainsi que la définition des inducteurs de coût sont résumées dans le tableau suivant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D31269" w:rsidTr="00D31269">
        <w:tc>
          <w:tcPr>
            <w:tcW w:w="4606" w:type="dxa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Activités</w:t>
            </w:r>
          </w:p>
        </w:tc>
        <w:tc>
          <w:tcPr>
            <w:tcW w:w="4606" w:type="dxa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Inducteur de coût</w:t>
            </w:r>
          </w:p>
        </w:tc>
      </w:tr>
      <w:tr w:rsidR="00D31269" w:rsidTr="00D31269"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Sélectionner et négocier avec les fournisseurs</w:t>
            </w:r>
          </w:p>
        </w:tc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fournisseurs</w:t>
            </w:r>
          </w:p>
        </w:tc>
      </w:tr>
      <w:tr w:rsidR="00D31269" w:rsidTr="00D31269">
        <w:tc>
          <w:tcPr>
            <w:tcW w:w="4606" w:type="dxa"/>
          </w:tcPr>
          <w:p w:rsidR="00D31269" w:rsidRPr="00F566FC" w:rsidRDefault="00D31269" w:rsidP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Commander les composants</w:t>
            </w:r>
          </w:p>
        </w:tc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commandes</w:t>
            </w:r>
          </w:p>
        </w:tc>
      </w:tr>
      <w:tr w:rsidR="00D31269" w:rsidTr="00D31269"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Gérer les stocks</w:t>
            </w:r>
          </w:p>
        </w:tc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références</w:t>
            </w:r>
          </w:p>
        </w:tc>
      </w:tr>
      <w:tr w:rsidR="00D31269" w:rsidTr="00D31269"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Préparer et lancer la fabrication</w:t>
            </w:r>
          </w:p>
        </w:tc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lots</w:t>
            </w:r>
          </w:p>
        </w:tc>
      </w:tr>
      <w:tr w:rsidR="00D31269" w:rsidTr="00D31269"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Fabriquer les bicyclettes</w:t>
            </w:r>
          </w:p>
        </w:tc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Heures de MOD</w:t>
            </w:r>
          </w:p>
        </w:tc>
      </w:tr>
      <w:tr w:rsidR="00D31269" w:rsidTr="00D31269"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Commercialiser les bicyclettes</w:t>
            </w:r>
          </w:p>
        </w:tc>
        <w:tc>
          <w:tcPr>
            <w:tcW w:w="4606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bicyclettes</w:t>
            </w:r>
          </w:p>
        </w:tc>
      </w:tr>
    </w:tbl>
    <w:p w:rsidR="00862812" w:rsidRDefault="00862812"/>
    <w:p w:rsidR="00D31269" w:rsidRPr="00F566FC" w:rsidRDefault="00D31269" w:rsidP="00F566FC">
      <w:pPr>
        <w:jc w:val="both"/>
        <w:rPr>
          <w:sz w:val="24"/>
          <w:szCs w:val="24"/>
        </w:rPr>
      </w:pPr>
      <w:r w:rsidRPr="00F566FC">
        <w:rPr>
          <w:sz w:val="24"/>
          <w:szCs w:val="24"/>
        </w:rPr>
        <w:t>La répartition des charges indirectes sur les différentes activités est fournie par le tableau suivant :</w:t>
      </w:r>
    </w:p>
    <w:tbl>
      <w:tblPr>
        <w:tblStyle w:val="Grilledutableau"/>
        <w:tblW w:w="9212" w:type="dxa"/>
        <w:tblLook w:val="04A0"/>
      </w:tblPr>
      <w:tblGrid>
        <w:gridCol w:w="5070"/>
        <w:gridCol w:w="4142"/>
      </w:tblGrid>
      <w:tr w:rsidR="00D31269" w:rsidTr="00F566FC">
        <w:tc>
          <w:tcPr>
            <w:tcW w:w="5070" w:type="dxa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Activités</w:t>
            </w:r>
          </w:p>
        </w:tc>
        <w:tc>
          <w:tcPr>
            <w:tcW w:w="4142" w:type="dxa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 xml:space="preserve">Montant en </w:t>
            </w:r>
            <w:proofErr w:type="spellStart"/>
            <w:r w:rsidRPr="00F566FC">
              <w:rPr>
                <w:b/>
                <w:bCs/>
                <w:sz w:val="24"/>
                <w:szCs w:val="24"/>
              </w:rPr>
              <w:t>dhs</w:t>
            </w:r>
            <w:proofErr w:type="spellEnd"/>
          </w:p>
        </w:tc>
      </w:tr>
      <w:tr w:rsidR="00D31269" w:rsidTr="00F566FC">
        <w:tc>
          <w:tcPr>
            <w:tcW w:w="5070" w:type="dxa"/>
          </w:tcPr>
          <w:p w:rsidR="00D31269" w:rsidRPr="00F566FC" w:rsidRDefault="00D31269" w:rsidP="003B5062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Sélectionner et négocier avec les fournisseurs</w:t>
            </w:r>
          </w:p>
        </w:tc>
        <w:tc>
          <w:tcPr>
            <w:tcW w:w="4142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562500</w:t>
            </w:r>
          </w:p>
        </w:tc>
      </w:tr>
      <w:tr w:rsidR="00D31269" w:rsidTr="00F566FC">
        <w:tc>
          <w:tcPr>
            <w:tcW w:w="5070" w:type="dxa"/>
          </w:tcPr>
          <w:p w:rsidR="00D31269" w:rsidRPr="00F566FC" w:rsidRDefault="00D31269" w:rsidP="003B5062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Commander les composants</w:t>
            </w:r>
          </w:p>
        </w:tc>
        <w:tc>
          <w:tcPr>
            <w:tcW w:w="4142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600000</w:t>
            </w:r>
          </w:p>
        </w:tc>
      </w:tr>
      <w:tr w:rsidR="00D31269" w:rsidTr="00F566FC">
        <w:tc>
          <w:tcPr>
            <w:tcW w:w="5070" w:type="dxa"/>
          </w:tcPr>
          <w:p w:rsidR="00D31269" w:rsidRPr="00F566FC" w:rsidRDefault="00D31269" w:rsidP="003B5062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Gérer les stocks</w:t>
            </w:r>
          </w:p>
        </w:tc>
        <w:tc>
          <w:tcPr>
            <w:tcW w:w="4142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1000000</w:t>
            </w:r>
          </w:p>
        </w:tc>
      </w:tr>
      <w:tr w:rsidR="00D31269" w:rsidTr="00F566FC">
        <w:tc>
          <w:tcPr>
            <w:tcW w:w="5070" w:type="dxa"/>
          </w:tcPr>
          <w:p w:rsidR="00D31269" w:rsidRPr="00F566FC" w:rsidRDefault="00D31269" w:rsidP="003B5062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Préparer et lancer la fabrication</w:t>
            </w:r>
          </w:p>
        </w:tc>
        <w:tc>
          <w:tcPr>
            <w:tcW w:w="4142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920000</w:t>
            </w:r>
          </w:p>
        </w:tc>
      </w:tr>
      <w:tr w:rsidR="00D31269" w:rsidTr="00F566FC">
        <w:tc>
          <w:tcPr>
            <w:tcW w:w="5070" w:type="dxa"/>
          </w:tcPr>
          <w:p w:rsidR="00D31269" w:rsidRPr="00F566FC" w:rsidRDefault="00D31269" w:rsidP="003B5062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Fabriquer les bicyclettes</w:t>
            </w:r>
          </w:p>
        </w:tc>
        <w:tc>
          <w:tcPr>
            <w:tcW w:w="4142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1380000</w:t>
            </w:r>
          </w:p>
        </w:tc>
      </w:tr>
      <w:tr w:rsidR="00D31269" w:rsidTr="00F566FC">
        <w:tc>
          <w:tcPr>
            <w:tcW w:w="5070" w:type="dxa"/>
          </w:tcPr>
          <w:p w:rsidR="00D31269" w:rsidRPr="00F566FC" w:rsidRDefault="00D31269" w:rsidP="003B5062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Commercialiser les bicyclettes</w:t>
            </w:r>
          </w:p>
        </w:tc>
        <w:tc>
          <w:tcPr>
            <w:tcW w:w="4142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747500</w:t>
            </w:r>
          </w:p>
        </w:tc>
      </w:tr>
    </w:tbl>
    <w:p w:rsidR="00D31269" w:rsidRDefault="00D31269"/>
    <w:p w:rsidR="00F566FC" w:rsidRDefault="00F566FC"/>
    <w:p w:rsidR="00F566FC" w:rsidRDefault="00F566FC"/>
    <w:p w:rsidR="00D31269" w:rsidRPr="00F566FC" w:rsidRDefault="00D31269" w:rsidP="00F566FC">
      <w:pPr>
        <w:jc w:val="both"/>
        <w:rPr>
          <w:sz w:val="24"/>
          <w:szCs w:val="24"/>
        </w:rPr>
      </w:pPr>
      <w:r w:rsidRPr="00F566FC">
        <w:rPr>
          <w:sz w:val="24"/>
          <w:szCs w:val="24"/>
        </w:rPr>
        <w:lastRenderedPageBreak/>
        <w:t>Pour la période considérée, la nomenclature des coûts des deux produits fabriqués par BETA est la suivante :</w:t>
      </w:r>
    </w:p>
    <w:tbl>
      <w:tblPr>
        <w:tblStyle w:val="Grilledutableau"/>
        <w:tblW w:w="0" w:type="auto"/>
        <w:tblLook w:val="04A0"/>
      </w:tblPr>
      <w:tblGrid>
        <w:gridCol w:w="3369"/>
        <w:gridCol w:w="1237"/>
        <w:gridCol w:w="2303"/>
        <w:gridCol w:w="2303"/>
      </w:tblGrid>
      <w:tr w:rsidR="00D31269" w:rsidTr="00F566FC">
        <w:tc>
          <w:tcPr>
            <w:tcW w:w="3369" w:type="dxa"/>
            <w:vMerge w:val="restart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Eléments</w:t>
            </w:r>
          </w:p>
        </w:tc>
        <w:tc>
          <w:tcPr>
            <w:tcW w:w="1237" w:type="dxa"/>
            <w:vMerge w:val="restart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4606" w:type="dxa"/>
            <w:gridSpan w:val="2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Dont spécifiques :</w:t>
            </w:r>
          </w:p>
        </w:tc>
      </w:tr>
      <w:tr w:rsidR="00D31269" w:rsidTr="00F566FC">
        <w:tc>
          <w:tcPr>
            <w:tcW w:w="3369" w:type="dxa"/>
            <w:vMerge/>
          </w:tcPr>
          <w:p w:rsidR="00D31269" w:rsidRDefault="00D31269"/>
        </w:tc>
        <w:tc>
          <w:tcPr>
            <w:tcW w:w="1237" w:type="dxa"/>
            <w:vMerge/>
          </w:tcPr>
          <w:p w:rsidR="00D31269" w:rsidRDefault="00D31269"/>
        </w:tc>
        <w:tc>
          <w:tcPr>
            <w:tcW w:w="2303" w:type="dxa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Modèle « x »</w:t>
            </w:r>
          </w:p>
        </w:tc>
        <w:tc>
          <w:tcPr>
            <w:tcW w:w="2303" w:type="dxa"/>
          </w:tcPr>
          <w:p w:rsidR="00D31269" w:rsidRPr="00F566FC" w:rsidRDefault="00D31269" w:rsidP="00F566FC">
            <w:pPr>
              <w:jc w:val="center"/>
              <w:rPr>
                <w:b/>
                <w:bCs/>
                <w:sz w:val="24"/>
                <w:szCs w:val="24"/>
              </w:rPr>
            </w:pPr>
            <w:r w:rsidRPr="00F566FC">
              <w:rPr>
                <w:b/>
                <w:bCs/>
                <w:sz w:val="24"/>
                <w:szCs w:val="24"/>
              </w:rPr>
              <w:t>Modèle « y »</w:t>
            </w:r>
          </w:p>
        </w:tc>
      </w:tr>
      <w:tr w:rsidR="00D31269" w:rsidTr="00F566FC">
        <w:tc>
          <w:tcPr>
            <w:tcW w:w="3369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fournisseurs</w:t>
            </w:r>
          </w:p>
        </w:tc>
        <w:tc>
          <w:tcPr>
            <w:tcW w:w="1237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27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48</w:t>
            </w:r>
          </w:p>
        </w:tc>
      </w:tr>
      <w:tr w:rsidR="00D31269" w:rsidTr="00F566FC">
        <w:tc>
          <w:tcPr>
            <w:tcW w:w="3369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commandes</w:t>
            </w:r>
          </w:p>
        </w:tc>
        <w:tc>
          <w:tcPr>
            <w:tcW w:w="1237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100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25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75</w:t>
            </w:r>
          </w:p>
        </w:tc>
      </w:tr>
      <w:tr w:rsidR="00D31269" w:rsidTr="00F566FC">
        <w:tc>
          <w:tcPr>
            <w:tcW w:w="3369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Nombre de références composants</w:t>
            </w:r>
          </w:p>
        </w:tc>
        <w:tc>
          <w:tcPr>
            <w:tcW w:w="1237" w:type="dxa"/>
          </w:tcPr>
          <w:p w:rsidR="00D31269" w:rsidRPr="00F566FC" w:rsidRDefault="00D31269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250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86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164</w:t>
            </w:r>
          </w:p>
        </w:tc>
      </w:tr>
      <w:tr w:rsidR="00D31269" w:rsidTr="00F566FC">
        <w:tc>
          <w:tcPr>
            <w:tcW w:w="3369" w:type="dxa"/>
          </w:tcPr>
          <w:p w:rsidR="00D31269" w:rsidRPr="00F566FC" w:rsidRDefault="00D31269">
            <w:pPr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 xml:space="preserve">Nombre de lots </w:t>
            </w:r>
          </w:p>
        </w:tc>
        <w:tc>
          <w:tcPr>
            <w:tcW w:w="1237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50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D31269" w:rsidRPr="00F566FC" w:rsidRDefault="00F566FC" w:rsidP="00F566FC">
            <w:pPr>
              <w:jc w:val="center"/>
              <w:rPr>
                <w:sz w:val="24"/>
                <w:szCs w:val="24"/>
              </w:rPr>
            </w:pPr>
            <w:r w:rsidRPr="00F566FC">
              <w:rPr>
                <w:sz w:val="24"/>
                <w:szCs w:val="24"/>
              </w:rPr>
              <w:t>45</w:t>
            </w:r>
          </w:p>
        </w:tc>
      </w:tr>
    </w:tbl>
    <w:p w:rsidR="00D31269" w:rsidRDefault="00D31269"/>
    <w:sectPr w:rsidR="00D31269" w:rsidSect="005E545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F4D" w:rsidRDefault="00884F4D" w:rsidP="00F566FC">
      <w:pPr>
        <w:spacing w:after="0" w:line="240" w:lineRule="auto"/>
      </w:pPr>
      <w:r>
        <w:separator/>
      </w:r>
    </w:p>
  </w:endnote>
  <w:endnote w:type="continuationSeparator" w:id="0">
    <w:p w:rsidR="00884F4D" w:rsidRDefault="00884F4D" w:rsidP="00F5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062610"/>
      <w:docPartObj>
        <w:docPartGallery w:val="Page Numbers (Bottom of Page)"/>
        <w:docPartUnique/>
      </w:docPartObj>
    </w:sdtPr>
    <w:sdtContent>
      <w:p w:rsidR="00F566FC" w:rsidRDefault="00F566FC">
        <w:pPr>
          <w:pStyle w:val="Pieddepage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566FC" w:rsidRDefault="00F566F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F4D" w:rsidRDefault="00884F4D" w:rsidP="00F566FC">
      <w:pPr>
        <w:spacing w:after="0" w:line="240" w:lineRule="auto"/>
      </w:pPr>
      <w:r>
        <w:separator/>
      </w:r>
    </w:p>
  </w:footnote>
  <w:footnote w:type="continuationSeparator" w:id="0">
    <w:p w:rsidR="00884F4D" w:rsidRDefault="00884F4D" w:rsidP="00F566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812"/>
    <w:rsid w:val="00003F8B"/>
    <w:rsid w:val="00147313"/>
    <w:rsid w:val="005E5451"/>
    <w:rsid w:val="00862812"/>
    <w:rsid w:val="00884F4D"/>
    <w:rsid w:val="00AC7655"/>
    <w:rsid w:val="00C92DF0"/>
    <w:rsid w:val="00D31269"/>
    <w:rsid w:val="00F5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3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47313"/>
    <w:pPr>
      <w:ind w:left="720"/>
      <w:contextualSpacing/>
    </w:pPr>
  </w:style>
  <w:style w:type="table" w:styleId="Grilledutableau">
    <w:name w:val="Table Grid"/>
    <w:basedOn w:val="TableauNormal"/>
    <w:uiPriority w:val="59"/>
    <w:rsid w:val="00D31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56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566FC"/>
  </w:style>
  <w:style w:type="paragraph" w:styleId="Pieddepage">
    <w:name w:val="footer"/>
    <w:basedOn w:val="Normal"/>
    <w:link w:val="PieddepageCar"/>
    <w:uiPriority w:val="99"/>
    <w:unhideWhenUsed/>
    <w:rsid w:val="00F56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6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YOUNESS</dc:creator>
  <cp:lastModifiedBy>YOUNESS</cp:lastModifiedBy>
  <cp:revision>2</cp:revision>
  <dcterms:created xsi:type="dcterms:W3CDTF">2017-02-25T22:38:00Z</dcterms:created>
  <dcterms:modified xsi:type="dcterms:W3CDTF">2017-02-25T23:04:00Z</dcterms:modified>
</cp:coreProperties>
</file>