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C9" w:rsidRDefault="005D55C9">
      <w:pPr>
        <w:pStyle w:val="Corpsdetexte"/>
        <w:ind w:left="98"/>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6" type="#_x0000_t202" style="width:465pt;height:98.45pt;mso-position-horizontal-relative:char;mso-position-vertical-relative:line" filled="f" strokeweight=".48pt">
            <v:textbox inset="0,0,0,0">
              <w:txbxContent>
                <w:p w:rsidR="005D55C9" w:rsidRDefault="001F73B5">
                  <w:pPr>
                    <w:spacing w:before="22"/>
                    <w:ind w:left="1611" w:right="1609"/>
                    <w:jc w:val="center"/>
                    <w:rPr>
                      <w:b/>
                      <w:sz w:val="36"/>
                    </w:rPr>
                  </w:pPr>
                  <w:r>
                    <w:rPr>
                      <w:b/>
                      <w:sz w:val="36"/>
                    </w:rPr>
                    <w:t>Quiz N°1</w:t>
                  </w:r>
                </w:p>
                <w:p w:rsidR="005D55C9" w:rsidRDefault="001F73B5">
                  <w:pPr>
                    <w:spacing w:before="43" w:line="708" w:lineRule="exact"/>
                    <w:ind w:left="1611" w:right="1616"/>
                    <w:jc w:val="center"/>
                    <w:rPr>
                      <w:b/>
                      <w:sz w:val="36"/>
                    </w:rPr>
                  </w:pPr>
                  <w:r>
                    <w:rPr>
                      <w:b/>
                      <w:sz w:val="36"/>
                    </w:rPr>
                    <w:t xml:space="preserve">Les relations monétaires internationales </w:t>
                  </w:r>
                </w:p>
              </w:txbxContent>
            </v:textbox>
            <w10:wrap type="none"/>
            <w10:anchorlock/>
          </v:shape>
        </w:pict>
      </w:r>
    </w:p>
    <w:p w:rsidR="005D55C9" w:rsidRDefault="005D55C9">
      <w:pPr>
        <w:pStyle w:val="Corpsdetexte"/>
        <w:spacing w:before="8"/>
        <w:rPr>
          <w:rFonts w:ascii="Times New Roman"/>
          <w:sz w:val="11"/>
        </w:rPr>
      </w:pPr>
    </w:p>
    <w:p w:rsidR="005D55C9" w:rsidRDefault="001F73B5">
      <w:pPr>
        <w:pStyle w:val="Heading1"/>
        <w:spacing w:before="35"/>
        <w:rPr>
          <w:u w:val="none"/>
        </w:rPr>
      </w:pPr>
      <w:r>
        <w:rPr>
          <w:u w:val="thick"/>
        </w:rPr>
        <w:t>QUESTION 1 :</w:t>
      </w:r>
    </w:p>
    <w:p w:rsidR="005D55C9" w:rsidRDefault="005D55C9">
      <w:pPr>
        <w:pStyle w:val="Corpsdetexte"/>
        <w:spacing w:before="3"/>
        <w:rPr>
          <w:b/>
          <w:sz w:val="13"/>
        </w:rPr>
      </w:pPr>
    </w:p>
    <w:p w:rsidR="005D55C9" w:rsidRDefault="001F73B5">
      <w:pPr>
        <w:spacing w:before="90"/>
        <w:ind w:left="216"/>
        <w:rPr>
          <w:rFonts w:ascii="Times New Roman"/>
          <w:sz w:val="24"/>
        </w:rPr>
      </w:pPr>
      <w:r>
        <w:rPr>
          <w:rFonts w:ascii="Times New Roman"/>
          <w:sz w:val="24"/>
        </w:rPr>
        <w:t>Supposons que :</w:t>
      </w:r>
    </w:p>
    <w:p w:rsidR="005D55C9" w:rsidRDefault="001F73B5">
      <w:pPr>
        <w:pStyle w:val="Paragraphedeliste"/>
        <w:numPr>
          <w:ilvl w:val="0"/>
          <w:numId w:val="4"/>
        </w:numPr>
        <w:tabs>
          <w:tab w:val="left" w:pos="936"/>
          <w:tab w:val="left" w:pos="937"/>
        </w:tabs>
        <w:spacing w:before="122"/>
        <w:rPr>
          <w:rFonts w:ascii="Times New Roman" w:hAnsi="Times New Roman"/>
          <w:sz w:val="24"/>
        </w:rPr>
      </w:pPr>
      <w:r>
        <w:rPr>
          <w:rFonts w:ascii="Times New Roman" w:hAnsi="Times New Roman"/>
          <w:sz w:val="24"/>
        </w:rPr>
        <w:t>Solde du Compte de Capital = 1</w:t>
      </w:r>
      <w:r>
        <w:rPr>
          <w:rFonts w:ascii="Times New Roman" w:hAnsi="Times New Roman"/>
          <w:spacing w:val="-3"/>
          <w:sz w:val="24"/>
        </w:rPr>
        <w:t xml:space="preserve"> </w:t>
      </w:r>
      <w:r>
        <w:rPr>
          <w:rFonts w:ascii="Times New Roman" w:hAnsi="Times New Roman"/>
          <w:sz w:val="24"/>
        </w:rPr>
        <w:t>500,</w:t>
      </w:r>
    </w:p>
    <w:p w:rsidR="005D55C9" w:rsidRDefault="001F73B5">
      <w:pPr>
        <w:pStyle w:val="Paragraphedeliste"/>
        <w:numPr>
          <w:ilvl w:val="0"/>
          <w:numId w:val="4"/>
        </w:numPr>
        <w:tabs>
          <w:tab w:val="left" w:pos="936"/>
          <w:tab w:val="left" w:pos="937"/>
        </w:tabs>
        <w:spacing w:before="119"/>
        <w:rPr>
          <w:rFonts w:ascii="Times New Roman" w:hAnsi="Times New Roman"/>
          <w:sz w:val="24"/>
        </w:rPr>
      </w:pPr>
      <w:r>
        <w:rPr>
          <w:rFonts w:ascii="Times New Roman" w:hAnsi="Times New Roman"/>
          <w:sz w:val="24"/>
        </w:rPr>
        <w:t>Solde du Compte Financier = (-</w:t>
      </w:r>
      <w:r>
        <w:rPr>
          <w:rFonts w:ascii="Times New Roman" w:hAnsi="Times New Roman"/>
          <w:spacing w:val="-6"/>
          <w:sz w:val="24"/>
        </w:rPr>
        <w:t xml:space="preserve"> </w:t>
      </w:r>
      <w:r>
        <w:rPr>
          <w:rFonts w:ascii="Times New Roman" w:hAnsi="Times New Roman"/>
          <w:sz w:val="24"/>
        </w:rPr>
        <w:t>700).</w:t>
      </w:r>
    </w:p>
    <w:p w:rsidR="005D55C9" w:rsidRDefault="001F73B5">
      <w:pPr>
        <w:spacing w:before="117"/>
        <w:ind w:left="216"/>
        <w:rPr>
          <w:rFonts w:ascii="Times New Roman"/>
          <w:sz w:val="24"/>
        </w:rPr>
      </w:pPr>
      <w:r>
        <w:rPr>
          <w:rFonts w:ascii="Times New Roman"/>
          <w:sz w:val="24"/>
        </w:rPr>
        <w:t>Parmi les affirmations suivantes, quelles sont celles qui sont certainement vraies ?</w:t>
      </w:r>
    </w:p>
    <w:p w:rsidR="005D55C9" w:rsidRDefault="001F73B5">
      <w:pPr>
        <w:pStyle w:val="Paragraphedeliste"/>
        <w:numPr>
          <w:ilvl w:val="0"/>
          <w:numId w:val="3"/>
        </w:numPr>
        <w:tabs>
          <w:tab w:val="left" w:pos="577"/>
        </w:tabs>
        <w:ind w:hanging="361"/>
        <w:rPr>
          <w:rFonts w:ascii="Times New Roman" w:hAnsi="Times New Roman"/>
          <w:sz w:val="24"/>
        </w:rPr>
      </w:pPr>
      <w:r>
        <w:rPr>
          <w:rFonts w:ascii="Times New Roman" w:hAnsi="Times New Roman"/>
          <w:sz w:val="24"/>
        </w:rPr>
        <w:t>Le Compte des Biens est en</w:t>
      </w:r>
      <w:r>
        <w:rPr>
          <w:rFonts w:ascii="Times New Roman" w:hAnsi="Times New Roman"/>
          <w:spacing w:val="-2"/>
          <w:sz w:val="24"/>
        </w:rPr>
        <w:t xml:space="preserve"> </w:t>
      </w:r>
      <w:r>
        <w:rPr>
          <w:rFonts w:ascii="Times New Roman" w:hAnsi="Times New Roman"/>
          <w:sz w:val="24"/>
        </w:rPr>
        <w:t>équi</w:t>
      </w:r>
      <w:r>
        <w:rPr>
          <w:rFonts w:ascii="Times New Roman" w:hAnsi="Times New Roman"/>
          <w:sz w:val="24"/>
        </w:rPr>
        <w:t>libre</w:t>
      </w:r>
    </w:p>
    <w:p w:rsidR="005D55C9" w:rsidRDefault="001F73B5">
      <w:pPr>
        <w:pStyle w:val="Paragraphedeliste"/>
        <w:numPr>
          <w:ilvl w:val="0"/>
          <w:numId w:val="3"/>
        </w:numPr>
        <w:tabs>
          <w:tab w:val="left" w:pos="577"/>
        </w:tabs>
        <w:ind w:hanging="361"/>
        <w:rPr>
          <w:rFonts w:ascii="Times New Roman"/>
          <w:sz w:val="24"/>
        </w:rPr>
      </w:pPr>
      <w:r>
        <w:rPr>
          <w:rFonts w:ascii="Times New Roman"/>
          <w:sz w:val="24"/>
        </w:rPr>
        <w:t>Le Compte des Transactions courantes vaut</w:t>
      </w:r>
      <w:r>
        <w:rPr>
          <w:rFonts w:ascii="Times New Roman"/>
          <w:spacing w:val="-3"/>
          <w:sz w:val="24"/>
        </w:rPr>
        <w:t xml:space="preserve"> </w:t>
      </w:r>
      <w:r>
        <w:rPr>
          <w:rFonts w:ascii="Times New Roman"/>
          <w:sz w:val="24"/>
        </w:rPr>
        <w:t>800</w:t>
      </w:r>
    </w:p>
    <w:p w:rsidR="005D55C9" w:rsidRDefault="001F73B5">
      <w:pPr>
        <w:pStyle w:val="Paragraphedeliste"/>
        <w:numPr>
          <w:ilvl w:val="0"/>
          <w:numId w:val="3"/>
        </w:numPr>
        <w:tabs>
          <w:tab w:val="left" w:pos="577"/>
        </w:tabs>
        <w:ind w:right="225"/>
        <w:rPr>
          <w:rFonts w:ascii="Times New Roman" w:hAnsi="Times New Roman"/>
          <w:sz w:val="24"/>
        </w:rPr>
      </w:pPr>
      <w:r>
        <w:rPr>
          <w:rFonts w:ascii="Times New Roman" w:hAnsi="Times New Roman"/>
          <w:sz w:val="24"/>
        </w:rPr>
        <w:t>Le Total Général ne peut être en équilibre qu’à condition que le Compte des Transactions courantes vaille</w:t>
      </w:r>
      <w:r>
        <w:rPr>
          <w:rFonts w:ascii="Times New Roman" w:hAnsi="Times New Roman"/>
          <w:spacing w:val="-1"/>
          <w:sz w:val="24"/>
        </w:rPr>
        <w:t xml:space="preserve"> </w:t>
      </w:r>
      <w:r>
        <w:rPr>
          <w:rFonts w:ascii="Times New Roman" w:hAnsi="Times New Roman"/>
          <w:sz w:val="24"/>
        </w:rPr>
        <w:t>(–800).</w:t>
      </w:r>
    </w:p>
    <w:p w:rsidR="005D55C9" w:rsidRDefault="001F73B5">
      <w:pPr>
        <w:pStyle w:val="Paragraphedeliste"/>
        <w:numPr>
          <w:ilvl w:val="0"/>
          <w:numId w:val="3"/>
        </w:numPr>
        <w:tabs>
          <w:tab w:val="left" w:pos="577"/>
        </w:tabs>
        <w:ind w:hanging="361"/>
        <w:rPr>
          <w:rFonts w:ascii="Times New Roman" w:hAnsi="Times New Roman"/>
          <w:sz w:val="24"/>
        </w:rPr>
      </w:pPr>
      <w:r>
        <w:rPr>
          <w:rFonts w:ascii="Times New Roman" w:hAnsi="Times New Roman"/>
          <w:sz w:val="24"/>
        </w:rPr>
        <w:t>Les Transferts de capital ainsi que les acquisitions d’actifs non financiers valent 1</w:t>
      </w:r>
      <w:r>
        <w:rPr>
          <w:rFonts w:ascii="Times New Roman" w:hAnsi="Times New Roman"/>
          <w:spacing w:val="-6"/>
          <w:sz w:val="24"/>
        </w:rPr>
        <w:t xml:space="preserve"> </w:t>
      </w:r>
      <w:r>
        <w:rPr>
          <w:rFonts w:ascii="Times New Roman" w:hAnsi="Times New Roman"/>
          <w:sz w:val="24"/>
        </w:rPr>
        <w:t>500</w:t>
      </w:r>
    </w:p>
    <w:p w:rsidR="005D55C9" w:rsidRDefault="001F73B5">
      <w:pPr>
        <w:pStyle w:val="Paragraphedeliste"/>
        <w:numPr>
          <w:ilvl w:val="0"/>
          <w:numId w:val="3"/>
        </w:numPr>
        <w:tabs>
          <w:tab w:val="left" w:pos="577"/>
        </w:tabs>
        <w:ind w:hanging="361"/>
        <w:rPr>
          <w:rFonts w:ascii="Times New Roman" w:hAnsi="Times New Roman"/>
          <w:sz w:val="24"/>
        </w:rPr>
      </w:pPr>
      <w:r>
        <w:rPr>
          <w:rFonts w:ascii="Times New Roman" w:hAnsi="Times New Roman"/>
          <w:sz w:val="24"/>
        </w:rPr>
        <w:t>Les erreurs et Omissions nettes valent</w:t>
      </w:r>
      <w:r>
        <w:rPr>
          <w:rFonts w:ascii="Times New Roman" w:hAnsi="Times New Roman"/>
          <w:spacing w:val="4"/>
          <w:sz w:val="24"/>
        </w:rPr>
        <w:t xml:space="preserve"> </w:t>
      </w:r>
      <w:r>
        <w:rPr>
          <w:rFonts w:ascii="Times New Roman" w:hAnsi="Times New Roman"/>
          <w:sz w:val="24"/>
        </w:rPr>
        <w:t>(–800).</w:t>
      </w:r>
    </w:p>
    <w:p w:rsidR="005D55C9" w:rsidRDefault="005D55C9">
      <w:pPr>
        <w:pStyle w:val="Corpsdetexte"/>
        <w:rPr>
          <w:rFonts w:ascii="Times New Roman"/>
          <w:sz w:val="26"/>
        </w:rPr>
      </w:pPr>
    </w:p>
    <w:p w:rsidR="005D55C9" w:rsidRDefault="005D55C9">
      <w:pPr>
        <w:pStyle w:val="Corpsdetexte"/>
        <w:spacing w:before="1"/>
        <w:rPr>
          <w:rFonts w:ascii="Times New Roman"/>
          <w:sz w:val="31"/>
        </w:rPr>
      </w:pPr>
    </w:p>
    <w:p w:rsidR="005D55C9" w:rsidRDefault="001F73B5">
      <w:pPr>
        <w:pStyle w:val="Heading1"/>
        <w:rPr>
          <w:u w:val="none"/>
        </w:rPr>
      </w:pPr>
      <w:r>
        <w:rPr>
          <w:u w:val="thick"/>
        </w:rPr>
        <w:t>Question 2 :</w:t>
      </w:r>
    </w:p>
    <w:p w:rsidR="005D55C9" w:rsidRDefault="005D55C9">
      <w:pPr>
        <w:pStyle w:val="Corpsdetexte"/>
        <w:spacing w:before="5"/>
        <w:rPr>
          <w:b/>
          <w:sz w:val="16"/>
        </w:rPr>
      </w:pPr>
    </w:p>
    <w:p w:rsidR="005D55C9" w:rsidRDefault="001F73B5">
      <w:pPr>
        <w:spacing w:before="56" w:line="362" w:lineRule="auto"/>
        <w:ind w:left="216"/>
      </w:pPr>
      <w:r>
        <w:t>A partir des opérations suivantes, établissez la balance des paiements simplifiée de la France. Vous retiendrez la présentation suivante :</w:t>
      </w:r>
    </w:p>
    <w:p w:rsidR="005D55C9" w:rsidRDefault="005D55C9">
      <w:pPr>
        <w:pStyle w:val="Corpsdetexte"/>
        <w:spacing w:before="3"/>
        <w:rPr>
          <w:sz w:val="16"/>
        </w:rPr>
      </w:pP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6"/>
        <w:gridCol w:w="1993"/>
        <w:gridCol w:w="2161"/>
        <w:gridCol w:w="2161"/>
      </w:tblGrid>
      <w:tr w:rsidR="005D55C9">
        <w:trPr>
          <w:trHeight w:val="321"/>
        </w:trPr>
        <w:tc>
          <w:tcPr>
            <w:tcW w:w="1536" w:type="dxa"/>
          </w:tcPr>
          <w:p w:rsidR="005D55C9" w:rsidRDefault="005D55C9">
            <w:pPr>
              <w:pStyle w:val="TableParagraph"/>
              <w:ind w:left="0"/>
            </w:pPr>
          </w:p>
        </w:tc>
        <w:tc>
          <w:tcPr>
            <w:tcW w:w="1993" w:type="dxa"/>
          </w:tcPr>
          <w:p w:rsidR="005D55C9" w:rsidRDefault="001F73B5">
            <w:pPr>
              <w:pStyle w:val="TableParagraph"/>
              <w:spacing w:line="301" w:lineRule="exact"/>
              <w:ind w:left="607"/>
              <w:rPr>
                <w:b/>
                <w:sz w:val="28"/>
              </w:rPr>
            </w:pPr>
            <w:r>
              <w:rPr>
                <w:b/>
                <w:sz w:val="28"/>
              </w:rPr>
              <w:t>Crédit</w:t>
            </w:r>
          </w:p>
        </w:tc>
        <w:tc>
          <w:tcPr>
            <w:tcW w:w="2161" w:type="dxa"/>
          </w:tcPr>
          <w:p w:rsidR="005D55C9" w:rsidRDefault="001F73B5">
            <w:pPr>
              <w:pStyle w:val="TableParagraph"/>
              <w:spacing w:line="301" w:lineRule="exact"/>
              <w:ind w:left="732" w:right="723"/>
              <w:jc w:val="center"/>
              <w:rPr>
                <w:b/>
                <w:sz w:val="28"/>
              </w:rPr>
            </w:pPr>
            <w:r>
              <w:rPr>
                <w:b/>
                <w:sz w:val="28"/>
              </w:rPr>
              <w:t>Débit</w:t>
            </w:r>
          </w:p>
        </w:tc>
        <w:tc>
          <w:tcPr>
            <w:tcW w:w="2161" w:type="dxa"/>
          </w:tcPr>
          <w:p w:rsidR="005D55C9" w:rsidRDefault="001F73B5">
            <w:pPr>
              <w:pStyle w:val="TableParagraph"/>
              <w:spacing w:line="301" w:lineRule="exact"/>
              <w:ind w:left="732" w:right="724"/>
              <w:jc w:val="center"/>
              <w:rPr>
                <w:b/>
                <w:sz w:val="28"/>
              </w:rPr>
            </w:pPr>
            <w:r>
              <w:rPr>
                <w:b/>
                <w:sz w:val="28"/>
              </w:rPr>
              <w:t>Solde</w:t>
            </w:r>
          </w:p>
        </w:tc>
      </w:tr>
      <w:tr w:rsidR="005D55C9">
        <w:trPr>
          <w:trHeight w:val="3933"/>
        </w:trPr>
        <w:tc>
          <w:tcPr>
            <w:tcW w:w="1536" w:type="dxa"/>
          </w:tcPr>
          <w:p w:rsidR="005D55C9" w:rsidRDefault="001F73B5">
            <w:pPr>
              <w:pStyle w:val="TableParagraph"/>
              <w:ind w:right="477"/>
              <w:jc w:val="both"/>
              <w:rPr>
                <w:b/>
                <w:sz w:val="18"/>
              </w:rPr>
            </w:pPr>
            <w:r>
              <w:rPr>
                <w:b/>
                <w:sz w:val="18"/>
              </w:rPr>
              <w:t>Compte des transactions courantes</w:t>
            </w:r>
          </w:p>
          <w:p w:rsidR="005D55C9" w:rsidRDefault="001F73B5">
            <w:pPr>
              <w:pStyle w:val="TableParagraph"/>
              <w:numPr>
                <w:ilvl w:val="0"/>
                <w:numId w:val="2"/>
              </w:numPr>
              <w:tabs>
                <w:tab w:val="left" w:pos="396"/>
              </w:tabs>
              <w:spacing w:line="203" w:lineRule="exact"/>
              <w:ind w:left="395"/>
              <w:jc w:val="both"/>
              <w:rPr>
                <w:sz w:val="18"/>
              </w:rPr>
            </w:pPr>
            <w:r>
              <w:rPr>
                <w:sz w:val="18"/>
              </w:rPr>
              <w:t>Biens</w:t>
            </w:r>
          </w:p>
          <w:p w:rsidR="005D55C9" w:rsidRDefault="001F73B5">
            <w:pPr>
              <w:pStyle w:val="TableParagraph"/>
              <w:numPr>
                <w:ilvl w:val="0"/>
                <w:numId w:val="2"/>
              </w:numPr>
              <w:tabs>
                <w:tab w:val="left" w:pos="394"/>
              </w:tabs>
              <w:ind w:left="393" w:hanging="104"/>
              <w:jc w:val="both"/>
              <w:rPr>
                <w:sz w:val="18"/>
              </w:rPr>
            </w:pPr>
            <w:r>
              <w:rPr>
                <w:sz w:val="18"/>
              </w:rPr>
              <w:t>Services</w:t>
            </w:r>
          </w:p>
          <w:p w:rsidR="005D55C9" w:rsidRDefault="001F73B5">
            <w:pPr>
              <w:pStyle w:val="TableParagraph"/>
              <w:numPr>
                <w:ilvl w:val="0"/>
                <w:numId w:val="2"/>
              </w:numPr>
              <w:tabs>
                <w:tab w:val="left" w:pos="396"/>
              </w:tabs>
              <w:spacing w:before="1"/>
              <w:ind w:right="403" w:firstLine="182"/>
              <w:jc w:val="both"/>
              <w:rPr>
                <w:sz w:val="18"/>
              </w:rPr>
            </w:pPr>
            <w:r>
              <w:rPr>
                <w:spacing w:val="-3"/>
                <w:sz w:val="18"/>
              </w:rPr>
              <w:t xml:space="preserve">Transferts </w:t>
            </w:r>
            <w:r>
              <w:rPr>
                <w:sz w:val="18"/>
              </w:rPr>
              <w:t>courants</w:t>
            </w:r>
          </w:p>
          <w:p w:rsidR="005D55C9" w:rsidRDefault="005D55C9">
            <w:pPr>
              <w:pStyle w:val="TableParagraph"/>
              <w:spacing w:before="3"/>
              <w:ind w:left="0"/>
              <w:rPr>
                <w:rFonts w:ascii="Calibri"/>
                <w:sz w:val="17"/>
              </w:rPr>
            </w:pPr>
          </w:p>
          <w:p w:rsidR="005D55C9" w:rsidRDefault="001F73B5">
            <w:pPr>
              <w:pStyle w:val="TableParagraph"/>
              <w:ind w:right="709"/>
              <w:rPr>
                <w:b/>
                <w:sz w:val="18"/>
              </w:rPr>
            </w:pPr>
            <w:r>
              <w:rPr>
                <w:b/>
                <w:sz w:val="18"/>
              </w:rPr>
              <w:t>Compte financier</w:t>
            </w:r>
          </w:p>
          <w:p w:rsidR="005D55C9" w:rsidRDefault="001F73B5">
            <w:pPr>
              <w:pStyle w:val="TableParagraph"/>
              <w:spacing w:line="203" w:lineRule="exact"/>
              <w:ind w:left="198"/>
              <w:rPr>
                <w:sz w:val="18"/>
              </w:rPr>
            </w:pPr>
            <w:r>
              <w:rPr>
                <w:sz w:val="18"/>
              </w:rPr>
              <w:t>-IDE</w:t>
            </w:r>
          </w:p>
          <w:p w:rsidR="005D55C9" w:rsidRDefault="001F73B5">
            <w:pPr>
              <w:pStyle w:val="TableParagraph"/>
              <w:ind w:right="108" w:firstLine="91"/>
              <w:rPr>
                <w:sz w:val="18"/>
              </w:rPr>
            </w:pPr>
            <w:r>
              <w:rPr>
                <w:sz w:val="18"/>
              </w:rPr>
              <w:t>-Investissements de portefeuille</w:t>
            </w:r>
          </w:p>
          <w:p w:rsidR="005D55C9" w:rsidRDefault="001F73B5">
            <w:pPr>
              <w:pStyle w:val="TableParagraph"/>
              <w:numPr>
                <w:ilvl w:val="0"/>
                <w:numId w:val="2"/>
              </w:numPr>
              <w:tabs>
                <w:tab w:val="left" w:pos="396"/>
              </w:tabs>
              <w:spacing w:before="1"/>
              <w:ind w:right="288" w:firstLine="182"/>
              <w:rPr>
                <w:sz w:val="18"/>
              </w:rPr>
            </w:pPr>
            <w:r>
              <w:rPr>
                <w:sz w:val="18"/>
              </w:rPr>
              <w:t xml:space="preserve">Autres </w:t>
            </w:r>
            <w:r>
              <w:rPr>
                <w:spacing w:val="-1"/>
                <w:sz w:val="18"/>
              </w:rPr>
              <w:t>investissements</w:t>
            </w:r>
          </w:p>
          <w:p w:rsidR="005D55C9" w:rsidRDefault="001F73B5">
            <w:pPr>
              <w:pStyle w:val="TableParagraph"/>
              <w:numPr>
                <w:ilvl w:val="0"/>
                <w:numId w:val="2"/>
              </w:numPr>
              <w:tabs>
                <w:tab w:val="left" w:pos="351"/>
              </w:tabs>
              <w:ind w:right="470" w:firstLine="136"/>
              <w:rPr>
                <w:sz w:val="18"/>
              </w:rPr>
            </w:pPr>
            <w:r>
              <w:rPr>
                <w:sz w:val="18"/>
              </w:rPr>
              <w:t xml:space="preserve">Avoirs </w:t>
            </w:r>
            <w:r>
              <w:rPr>
                <w:spacing w:val="-7"/>
                <w:sz w:val="18"/>
              </w:rPr>
              <w:t xml:space="preserve">de </w:t>
            </w:r>
            <w:r>
              <w:rPr>
                <w:sz w:val="18"/>
              </w:rPr>
              <w:t>réserves</w:t>
            </w:r>
          </w:p>
          <w:p w:rsidR="005D55C9" w:rsidRDefault="005D55C9">
            <w:pPr>
              <w:pStyle w:val="TableParagraph"/>
              <w:spacing w:before="3"/>
              <w:ind w:left="0"/>
              <w:rPr>
                <w:rFonts w:ascii="Calibri"/>
                <w:sz w:val="17"/>
              </w:rPr>
            </w:pPr>
          </w:p>
          <w:p w:rsidR="005D55C9" w:rsidRDefault="001F73B5">
            <w:pPr>
              <w:pStyle w:val="TableParagraph"/>
              <w:spacing w:line="186" w:lineRule="exact"/>
              <w:rPr>
                <w:b/>
                <w:sz w:val="18"/>
              </w:rPr>
            </w:pPr>
            <w:r>
              <w:rPr>
                <w:b/>
                <w:sz w:val="18"/>
              </w:rPr>
              <w:t>Total</w:t>
            </w:r>
          </w:p>
        </w:tc>
        <w:tc>
          <w:tcPr>
            <w:tcW w:w="1993" w:type="dxa"/>
          </w:tcPr>
          <w:p w:rsidR="005D55C9" w:rsidRDefault="005D55C9">
            <w:pPr>
              <w:pStyle w:val="TableParagraph"/>
              <w:ind w:left="0"/>
            </w:pPr>
          </w:p>
        </w:tc>
        <w:tc>
          <w:tcPr>
            <w:tcW w:w="2161" w:type="dxa"/>
          </w:tcPr>
          <w:p w:rsidR="005D55C9" w:rsidRDefault="005D55C9">
            <w:pPr>
              <w:pStyle w:val="TableParagraph"/>
              <w:ind w:left="0"/>
            </w:pPr>
          </w:p>
        </w:tc>
        <w:tc>
          <w:tcPr>
            <w:tcW w:w="2161" w:type="dxa"/>
          </w:tcPr>
          <w:p w:rsidR="005D55C9" w:rsidRDefault="005D55C9">
            <w:pPr>
              <w:pStyle w:val="TableParagraph"/>
              <w:ind w:left="0"/>
            </w:pPr>
          </w:p>
        </w:tc>
      </w:tr>
    </w:tbl>
    <w:p w:rsidR="005D55C9" w:rsidRDefault="005D55C9">
      <w:pPr>
        <w:sectPr w:rsidR="005D55C9">
          <w:type w:val="continuous"/>
          <w:pgSz w:w="11910" w:h="16840"/>
          <w:pgMar w:top="1400" w:right="1200" w:bottom="280" w:left="1200" w:header="720" w:footer="720" w:gutter="0"/>
          <w:cols w:space="720"/>
        </w:sectPr>
      </w:pPr>
    </w:p>
    <w:p w:rsidR="005D55C9" w:rsidRDefault="001F73B5">
      <w:pPr>
        <w:pStyle w:val="Paragraphedeliste"/>
        <w:numPr>
          <w:ilvl w:val="1"/>
          <w:numId w:val="3"/>
        </w:numPr>
        <w:tabs>
          <w:tab w:val="left" w:pos="1150"/>
        </w:tabs>
        <w:spacing w:before="17" w:line="278" w:lineRule="auto"/>
        <w:ind w:right="213" w:firstLine="707"/>
        <w:jc w:val="both"/>
        <w:rPr>
          <w:sz w:val="28"/>
        </w:rPr>
      </w:pPr>
      <w:r>
        <w:rPr>
          <w:sz w:val="28"/>
        </w:rPr>
        <w:lastRenderedPageBreak/>
        <w:t>- Au cours de l’été, les touristes japonais au Maroc ont dépensé pour 2500 millions de yens. Ils ont échangé la totalité de cette somme contre des euros dans des banques marocaines (1 yen = 0,0876</w:t>
      </w:r>
      <w:r>
        <w:rPr>
          <w:spacing w:val="-14"/>
          <w:sz w:val="28"/>
        </w:rPr>
        <w:t xml:space="preserve"> </w:t>
      </w:r>
      <w:r>
        <w:rPr>
          <w:sz w:val="28"/>
        </w:rPr>
        <w:t>dirham).</w:t>
      </w:r>
    </w:p>
    <w:p w:rsidR="005D55C9" w:rsidRDefault="001F73B5">
      <w:pPr>
        <w:pStyle w:val="Paragraphedeliste"/>
        <w:numPr>
          <w:ilvl w:val="1"/>
          <w:numId w:val="3"/>
        </w:numPr>
        <w:tabs>
          <w:tab w:val="left" w:pos="1136"/>
        </w:tabs>
        <w:spacing w:before="191" w:line="276" w:lineRule="auto"/>
        <w:ind w:right="216" w:firstLine="707"/>
        <w:jc w:val="both"/>
        <w:rPr>
          <w:sz w:val="28"/>
        </w:rPr>
      </w:pPr>
      <w:r>
        <w:rPr>
          <w:sz w:val="28"/>
        </w:rPr>
        <w:t>- La société Léon &amp; Co exporte pour 10 millions de</w:t>
      </w:r>
      <w:r>
        <w:rPr>
          <w:sz w:val="28"/>
        </w:rPr>
        <w:t xml:space="preserve"> dollars de bouteilles de verre aux Etats-Unis (1USD = 10.12 MAD). Le règlement s’effectue à 70% au comptant en dollars et 30% par crédit commercial accordé par une banque marocaine. Le règlement au comptant se traduit par une augmentation des avoirs en de</w:t>
      </w:r>
      <w:r>
        <w:rPr>
          <w:sz w:val="28"/>
        </w:rPr>
        <w:t>vises sur des comptes bancaires pour un montant de 4 millions de dollars et par une augmentation des réserves en</w:t>
      </w:r>
      <w:r>
        <w:rPr>
          <w:spacing w:val="-12"/>
          <w:sz w:val="28"/>
        </w:rPr>
        <w:t xml:space="preserve"> </w:t>
      </w:r>
      <w:r>
        <w:rPr>
          <w:sz w:val="28"/>
        </w:rPr>
        <w:t>devises.</w:t>
      </w:r>
    </w:p>
    <w:p w:rsidR="005D55C9" w:rsidRDefault="001F73B5">
      <w:pPr>
        <w:pStyle w:val="Paragraphedeliste"/>
        <w:numPr>
          <w:ilvl w:val="1"/>
          <w:numId w:val="3"/>
        </w:numPr>
        <w:tabs>
          <w:tab w:val="left" w:pos="1165"/>
        </w:tabs>
        <w:spacing w:before="201" w:line="278" w:lineRule="auto"/>
        <w:ind w:right="213" w:firstLine="707"/>
        <w:jc w:val="both"/>
        <w:rPr>
          <w:sz w:val="28"/>
        </w:rPr>
      </w:pPr>
      <w:r>
        <w:rPr>
          <w:sz w:val="28"/>
        </w:rPr>
        <w:t>- Des travailleurs étrangers résidant au Maroc envoient 5 millions de dirham à leur famille résidant dans leur pays</w:t>
      </w:r>
      <w:r>
        <w:rPr>
          <w:spacing w:val="-9"/>
          <w:sz w:val="28"/>
        </w:rPr>
        <w:t xml:space="preserve"> </w:t>
      </w:r>
      <w:r>
        <w:rPr>
          <w:sz w:val="28"/>
        </w:rPr>
        <w:t>d’origine.</w:t>
      </w:r>
    </w:p>
    <w:p w:rsidR="005D55C9" w:rsidRDefault="001F73B5">
      <w:pPr>
        <w:pStyle w:val="Paragraphedeliste"/>
        <w:numPr>
          <w:ilvl w:val="1"/>
          <w:numId w:val="3"/>
        </w:numPr>
        <w:tabs>
          <w:tab w:val="left" w:pos="1138"/>
        </w:tabs>
        <w:spacing w:before="193" w:line="278" w:lineRule="auto"/>
        <w:ind w:right="211" w:firstLine="707"/>
        <w:jc w:val="both"/>
        <w:rPr>
          <w:sz w:val="28"/>
        </w:rPr>
      </w:pPr>
      <w:r>
        <w:rPr>
          <w:sz w:val="28"/>
        </w:rPr>
        <w:t>- Une s</w:t>
      </w:r>
      <w:r>
        <w:rPr>
          <w:sz w:val="28"/>
        </w:rPr>
        <w:t>ociété marocaine achète 30 % du capital d’une société slovaque pour 10 millions de dirhams. Le règlement a lieu en</w:t>
      </w:r>
      <w:r>
        <w:rPr>
          <w:spacing w:val="-16"/>
          <w:sz w:val="28"/>
        </w:rPr>
        <w:t xml:space="preserve"> </w:t>
      </w:r>
      <w:r>
        <w:rPr>
          <w:sz w:val="28"/>
        </w:rPr>
        <w:t>dirhams.</w:t>
      </w:r>
    </w:p>
    <w:p w:rsidR="005D55C9" w:rsidRDefault="001F73B5">
      <w:pPr>
        <w:pStyle w:val="Paragraphedeliste"/>
        <w:numPr>
          <w:ilvl w:val="1"/>
          <w:numId w:val="3"/>
        </w:numPr>
        <w:tabs>
          <w:tab w:val="left" w:pos="1158"/>
        </w:tabs>
        <w:spacing w:before="194" w:line="276" w:lineRule="auto"/>
        <w:ind w:right="217" w:firstLine="707"/>
        <w:jc w:val="both"/>
        <w:rPr>
          <w:sz w:val="28"/>
        </w:rPr>
      </w:pPr>
      <w:r>
        <w:rPr>
          <w:sz w:val="28"/>
        </w:rPr>
        <w:t>- Des investisseurs marocains ont acheté pour 25 millions de dirhams de titres de la dette publique américaine. Le règlement a lieu au comptant et en</w:t>
      </w:r>
      <w:r>
        <w:rPr>
          <w:spacing w:val="-3"/>
          <w:sz w:val="28"/>
        </w:rPr>
        <w:t xml:space="preserve"> </w:t>
      </w:r>
      <w:r>
        <w:rPr>
          <w:sz w:val="28"/>
        </w:rPr>
        <w:t>dollars.</w:t>
      </w:r>
    </w:p>
    <w:p w:rsidR="005D55C9" w:rsidRDefault="001F73B5">
      <w:pPr>
        <w:pStyle w:val="Paragraphedeliste"/>
        <w:numPr>
          <w:ilvl w:val="1"/>
          <w:numId w:val="3"/>
        </w:numPr>
        <w:tabs>
          <w:tab w:val="left" w:pos="1141"/>
        </w:tabs>
        <w:spacing w:before="201" w:line="276" w:lineRule="auto"/>
        <w:ind w:right="218" w:firstLine="707"/>
        <w:jc w:val="both"/>
        <w:rPr>
          <w:sz w:val="28"/>
        </w:rPr>
      </w:pPr>
      <w:r>
        <w:rPr>
          <w:sz w:val="28"/>
        </w:rPr>
        <w:t>- Un grand magasin marocain achète pour 10 millions d’euros de pâtes alimentaires italiennes et s</w:t>
      </w:r>
      <w:r>
        <w:rPr>
          <w:sz w:val="28"/>
        </w:rPr>
        <w:t>e fait accorder un crédit de 3</w:t>
      </w:r>
      <w:r>
        <w:rPr>
          <w:spacing w:val="-15"/>
          <w:sz w:val="28"/>
        </w:rPr>
        <w:t xml:space="preserve"> </w:t>
      </w:r>
      <w:r>
        <w:rPr>
          <w:sz w:val="28"/>
        </w:rPr>
        <w:t>mois.</w:t>
      </w:r>
    </w:p>
    <w:p w:rsidR="005D55C9" w:rsidRDefault="005D55C9">
      <w:pPr>
        <w:spacing w:line="276" w:lineRule="auto"/>
        <w:jc w:val="both"/>
        <w:rPr>
          <w:sz w:val="28"/>
        </w:rPr>
        <w:sectPr w:rsidR="005D55C9">
          <w:pgSz w:w="11910" w:h="16840"/>
          <w:pgMar w:top="1380" w:right="1200" w:bottom="280" w:left="1200" w:header="720" w:footer="720" w:gutter="0"/>
          <w:cols w:space="720"/>
        </w:sectPr>
      </w:pPr>
    </w:p>
    <w:p w:rsidR="005D55C9" w:rsidRDefault="001F73B5">
      <w:pPr>
        <w:pStyle w:val="Heading1"/>
        <w:spacing w:before="18"/>
        <w:rPr>
          <w:u w:val="none"/>
        </w:rPr>
      </w:pPr>
      <w:r>
        <w:rPr>
          <w:u w:val="thick"/>
        </w:rPr>
        <w:lastRenderedPageBreak/>
        <w:t>QUESTION 3 :</w:t>
      </w:r>
    </w:p>
    <w:p w:rsidR="005D55C9" w:rsidRDefault="001F73B5">
      <w:pPr>
        <w:pStyle w:val="Corpsdetexte"/>
        <w:spacing w:before="252"/>
        <w:ind w:left="216" w:firstLine="707"/>
        <w:rPr>
          <w:rFonts w:ascii="Times New Roman" w:hAnsi="Times New Roman"/>
        </w:rPr>
      </w:pPr>
      <w:r>
        <w:rPr>
          <w:rFonts w:ascii="Times New Roman" w:hAnsi="Times New Roman"/>
        </w:rPr>
        <w:t>Le tableau ci-dessous retrace les principaux postes de la balance des paiements de la zone euro pour l’année 2014 (en milliards d’euros) :</w:t>
      </w:r>
    </w:p>
    <w:p w:rsidR="005D55C9" w:rsidRDefault="005D55C9">
      <w:pPr>
        <w:pStyle w:val="Corpsdetexte"/>
        <w:spacing w:before="6"/>
        <w:rPr>
          <w:rFonts w:ascii="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6"/>
        <w:gridCol w:w="2213"/>
      </w:tblGrid>
      <w:tr w:rsidR="005D55C9">
        <w:trPr>
          <w:trHeight w:val="4509"/>
        </w:trPr>
        <w:tc>
          <w:tcPr>
            <w:tcW w:w="4606" w:type="dxa"/>
          </w:tcPr>
          <w:p w:rsidR="005D55C9" w:rsidRDefault="001F73B5">
            <w:pPr>
              <w:pStyle w:val="TableParagraph"/>
              <w:spacing w:line="360" w:lineRule="auto"/>
              <w:ind w:right="1114"/>
              <w:rPr>
                <w:sz w:val="28"/>
              </w:rPr>
            </w:pPr>
            <w:r>
              <w:rPr>
                <w:sz w:val="28"/>
              </w:rPr>
              <w:t>Exportations de marchandises Importations de marchan</w:t>
            </w:r>
            <w:r>
              <w:rPr>
                <w:sz w:val="28"/>
              </w:rPr>
              <w:t>dises Exportations de services Importations de services Solde des revenus</w:t>
            </w:r>
          </w:p>
          <w:p w:rsidR="005D55C9" w:rsidRDefault="001F73B5">
            <w:pPr>
              <w:pStyle w:val="TableParagraph"/>
              <w:spacing w:line="360" w:lineRule="auto"/>
              <w:ind w:right="1257"/>
              <w:rPr>
                <w:sz w:val="28"/>
              </w:rPr>
            </w:pPr>
            <w:r>
              <w:rPr>
                <w:sz w:val="28"/>
              </w:rPr>
              <w:t>Solde des transferts courants Solde du compte de capital</w:t>
            </w:r>
          </w:p>
          <w:p w:rsidR="005D55C9" w:rsidRDefault="001F73B5">
            <w:pPr>
              <w:pStyle w:val="TableParagraph"/>
              <w:ind w:right="215"/>
              <w:rPr>
                <w:sz w:val="28"/>
              </w:rPr>
            </w:pPr>
            <w:r>
              <w:rPr>
                <w:sz w:val="28"/>
              </w:rPr>
              <w:t>Solde du compte financier hors avoirs de réserves</w:t>
            </w:r>
          </w:p>
          <w:p w:rsidR="005D55C9" w:rsidRDefault="001F73B5">
            <w:pPr>
              <w:pStyle w:val="TableParagraph"/>
              <w:spacing w:line="321" w:lineRule="exact"/>
              <w:rPr>
                <w:sz w:val="28"/>
              </w:rPr>
            </w:pPr>
            <w:r>
              <w:rPr>
                <w:sz w:val="28"/>
              </w:rPr>
              <w:t>Erreurs et omissions nettes</w:t>
            </w:r>
          </w:p>
        </w:tc>
        <w:tc>
          <w:tcPr>
            <w:tcW w:w="2213" w:type="dxa"/>
          </w:tcPr>
          <w:p w:rsidR="005D55C9" w:rsidRDefault="001F73B5">
            <w:pPr>
              <w:pStyle w:val="TableParagraph"/>
              <w:ind w:left="110"/>
              <w:rPr>
                <w:b/>
                <w:sz w:val="28"/>
              </w:rPr>
            </w:pPr>
            <w:r>
              <w:rPr>
                <w:b/>
                <w:sz w:val="28"/>
              </w:rPr>
              <w:t>1130</w:t>
            </w:r>
          </w:p>
          <w:p w:rsidR="005D55C9" w:rsidRDefault="001F73B5">
            <w:pPr>
              <w:pStyle w:val="TableParagraph"/>
              <w:spacing w:before="160"/>
              <w:ind w:left="110"/>
              <w:rPr>
                <w:b/>
                <w:sz w:val="28"/>
              </w:rPr>
            </w:pPr>
            <w:r>
              <w:rPr>
                <w:b/>
                <w:sz w:val="28"/>
              </w:rPr>
              <w:t>1027</w:t>
            </w:r>
          </w:p>
          <w:p w:rsidR="005D55C9" w:rsidRDefault="001F73B5">
            <w:pPr>
              <w:pStyle w:val="TableParagraph"/>
              <w:spacing w:before="161"/>
              <w:ind w:left="179"/>
              <w:rPr>
                <w:b/>
                <w:sz w:val="28"/>
              </w:rPr>
            </w:pPr>
            <w:r>
              <w:rPr>
                <w:b/>
                <w:sz w:val="28"/>
              </w:rPr>
              <w:t>355</w:t>
            </w:r>
          </w:p>
          <w:p w:rsidR="005D55C9" w:rsidRDefault="001F73B5">
            <w:pPr>
              <w:pStyle w:val="TableParagraph"/>
              <w:spacing w:before="160"/>
              <w:ind w:left="179"/>
              <w:rPr>
                <w:b/>
                <w:sz w:val="28"/>
              </w:rPr>
            </w:pPr>
            <w:r>
              <w:rPr>
                <w:b/>
                <w:sz w:val="28"/>
              </w:rPr>
              <w:t>328</w:t>
            </w:r>
          </w:p>
          <w:p w:rsidR="005D55C9" w:rsidRDefault="001F73B5">
            <w:pPr>
              <w:pStyle w:val="TableParagraph"/>
              <w:spacing w:before="161"/>
              <w:ind w:left="110"/>
              <w:rPr>
                <w:b/>
                <w:sz w:val="28"/>
              </w:rPr>
            </w:pPr>
            <w:r>
              <w:rPr>
                <w:b/>
                <w:sz w:val="28"/>
              </w:rPr>
              <w:t>-</w:t>
            </w:r>
            <w:r>
              <w:rPr>
                <w:b/>
                <w:spacing w:val="2"/>
                <w:sz w:val="28"/>
              </w:rPr>
              <w:t xml:space="preserve"> </w:t>
            </w:r>
            <w:r>
              <w:rPr>
                <w:b/>
                <w:sz w:val="28"/>
              </w:rPr>
              <w:t>28</w:t>
            </w:r>
          </w:p>
          <w:p w:rsidR="005D55C9" w:rsidRDefault="001F73B5">
            <w:pPr>
              <w:pStyle w:val="TableParagraph"/>
              <w:spacing w:before="163"/>
              <w:ind w:left="110"/>
              <w:rPr>
                <w:b/>
                <w:sz w:val="28"/>
              </w:rPr>
            </w:pPr>
            <w:r>
              <w:rPr>
                <w:b/>
                <w:sz w:val="28"/>
              </w:rPr>
              <w:t>-</w:t>
            </w:r>
            <w:r>
              <w:rPr>
                <w:b/>
                <w:spacing w:val="2"/>
                <w:sz w:val="28"/>
              </w:rPr>
              <w:t xml:space="preserve"> </w:t>
            </w:r>
            <w:r>
              <w:rPr>
                <w:b/>
                <w:sz w:val="28"/>
              </w:rPr>
              <w:t>56</w:t>
            </w:r>
          </w:p>
          <w:p w:rsidR="005D55C9" w:rsidRDefault="001F73B5">
            <w:pPr>
              <w:pStyle w:val="TableParagraph"/>
              <w:spacing w:before="160"/>
              <w:ind w:left="249"/>
              <w:rPr>
                <w:b/>
                <w:sz w:val="28"/>
              </w:rPr>
            </w:pPr>
            <w:r>
              <w:rPr>
                <w:b/>
                <w:sz w:val="28"/>
              </w:rPr>
              <w:t>17</w:t>
            </w:r>
          </w:p>
          <w:p w:rsidR="005D55C9" w:rsidRDefault="001F73B5">
            <w:pPr>
              <w:pStyle w:val="TableParagraph"/>
              <w:spacing w:before="161"/>
              <w:ind w:left="110"/>
              <w:rPr>
                <w:b/>
                <w:sz w:val="28"/>
              </w:rPr>
            </w:pPr>
            <w:r>
              <w:rPr>
                <w:b/>
                <w:sz w:val="28"/>
              </w:rPr>
              <w:t>-</w:t>
            </w:r>
            <w:r>
              <w:rPr>
                <w:b/>
                <w:spacing w:val="2"/>
                <w:sz w:val="28"/>
              </w:rPr>
              <w:t xml:space="preserve"> </w:t>
            </w:r>
            <w:r>
              <w:rPr>
                <w:b/>
                <w:sz w:val="28"/>
              </w:rPr>
              <w:t>18</w:t>
            </w:r>
          </w:p>
          <w:p w:rsidR="005D55C9" w:rsidRDefault="001F73B5">
            <w:pPr>
              <w:pStyle w:val="TableParagraph"/>
              <w:spacing w:before="160"/>
              <w:ind w:left="110"/>
              <w:rPr>
                <w:b/>
                <w:sz w:val="28"/>
              </w:rPr>
            </w:pPr>
            <w:r>
              <w:rPr>
                <w:b/>
                <w:sz w:val="28"/>
              </w:rPr>
              <w:t>-</w:t>
            </w:r>
            <w:r>
              <w:rPr>
                <w:b/>
                <w:spacing w:val="2"/>
                <w:sz w:val="28"/>
              </w:rPr>
              <w:t xml:space="preserve"> </w:t>
            </w:r>
            <w:r>
              <w:rPr>
                <w:b/>
                <w:sz w:val="28"/>
              </w:rPr>
              <w:t>59</w:t>
            </w:r>
          </w:p>
        </w:tc>
      </w:tr>
    </w:tbl>
    <w:p w:rsidR="005D55C9" w:rsidRDefault="005D55C9">
      <w:pPr>
        <w:pStyle w:val="Corpsdetexte"/>
        <w:rPr>
          <w:rFonts w:ascii="Times New Roman"/>
          <w:sz w:val="30"/>
        </w:rPr>
      </w:pPr>
    </w:p>
    <w:p w:rsidR="005D55C9" w:rsidRDefault="005D55C9">
      <w:pPr>
        <w:pStyle w:val="Corpsdetexte"/>
        <w:spacing w:before="4"/>
        <w:rPr>
          <w:rFonts w:ascii="Times New Roman"/>
          <w:sz w:val="26"/>
        </w:rPr>
      </w:pPr>
    </w:p>
    <w:p w:rsidR="005D55C9" w:rsidRDefault="001F73B5">
      <w:pPr>
        <w:pStyle w:val="Corpsdetexte"/>
        <w:spacing w:line="360" w:lineRule="auto"/>
        <w:ind w:left="216" w:right="143"/>
      </w:pPr>
      <w:r>
        <w:t>On sait en outre que le PIB de la zone euro s’est élevé à 7601 milliards d’euros en 2014.</w:t>
      </w:r>
    </w:p>
    <w:p w:rsidR="005D55C9" w:rsidRDefault="001F73B5">
      <w:pPr>
        <w:pStyle w:val="Paragraphedeliste"/>
        <w:numPr>
          <w:ilvl w:val="0"/>
          <w:numId w:val="1"/>
        </w:numPr>
        <w:tabs>
          <w:tab w:val="left" w:pos="421"/>
        </w:tabs>
        <w:spacing w:before="201"/>
        <w:ind w:hanging="205"/>
        <w:rPr>
          <w:sz w:val="28"/>
        </w:rPr>
      </w:pPr>
      <w:r>
        <w:rPr>
          <w:sz w:val="28"/>
        </w:rPr>
        <w:t>- Calculez et commentez les soldes suivants</w:t>
      </w:r>
      <w:r>
        <w:rPr>
          <w:spacing w:val="-9"/>
          <w:sz w:val="28"/>
        </w:rPr>
        <w:t xml:space="preserve"> </w:t>
      </w:r>
      <w:r>
        <w:rPr>
          <w:sz w:val="28"/>
        </w:rPr>
        <w:t>:</w:t>
      </w:r>
    </w:p>
    <w:p w:rsidR="005D55C9" w:rsidRDefault="005D55C9">
      <w:pPr>
        <w:pStyle w:val="Corpsdetexte"/>
        <w:spacing w:before="7"/>
        <w:rPr>
          <w:sz w:val="30"/>
        </w:rPr>
      </w:pPr>
    </w:p>
    <w:p w:rsidR="005D55C9" w:rsidRDefault="001F73B5">
      <w:pPr>
        <w:pStyle w:val="Paragraphedeliste"/>
        <w:numPr>
          <w:ilvl w:val="1"/>
          <w:numId w:val="1"/>
        </w:numPr>
        <w:tabs>
          <w:tab w:val="left" w:pos="1782"/>
        </w:tabs>
        <w:spacing w:before="0"/>
        <w:ind w:hanging="150"/>
        <w:rPr>
          <w:sz w:val="28"/>
        </w:rPr>
      </w:pPr>
      <w:r>
        <w:rPr>
          <w:sz w:val="28"/>
        </w:rPr>
        <w:t>solde commercial</w:t>
      </w:r>
      <w:r>
        <w:rPr>
          <w:spacing w:val="-4"/>
          <w:sz w:val="28"/>
        </w:rPr>
        <w:t xml:space="preserve"> </w:t>
      </w:r>
      <w:r>
        <w:rPr>
          <w:sz w:val="28"/>
        </w:rPr>
        <w:t>;</w:t>
      </w:r>
    </w:p>
    <w:p w:rsidR="005D55C9" w:rsidRDefault="001F73B5">
      <w:pPr>
        <w:pStyle w:val="Paragraphedeliste"/>
        <w:numPr>
          <w:ilvl w:val="1"/>
          <w:numId w:val="1"/>
        </w:numPr>
        <w:tabs>
          <w:tab w:val="left" w:pos="1782"/>
        </w:tabs>
        <w:spacing w:before="251"/>
        <w:ind w:hanging="150"/>
        <w:rPr>
          <w:sz w:val="28"/>
        </w:rPr>
      </w:pPr>
      <w:r>
        <w:rPr>
          <w:sz w:val="28"/>
        </w:rPr>
        <w:t>solde des échanges de services</w:t>
      </w:r>
      <w:r>
        <w:rPr>
          <w:spacing w:val="-6"/>
          <w:sz w:val="28"/>
        </w:rPr>
        <w:t xml:space="preserve"> </w:t>
      </w:r>
      <w:r>
        <w:rPr>
          <w:sz w:val="28"/>
        </w:rPr>
        <w:t>;</w:t>
      </w:r>
    </w:p>
    <w:p w:rsidR="005D55C9" w:rsidRDefault="005D55C9">
      <w:pPr>
        <w:pStyle w:val="Corpsdetexte"/>
        <w:spacing w:before="7"/>
        <w:rPr>
          <w:sz w:val="20"/>
        </w:rPr>
      </w:pPr>
    </w:p>
    <w:p w:rsidR="005D55C9" w:rsidRDefault="001F73B5">
      <w:pPr>
        <w:pStyle w:val="Paragraphedeliste"/>
        <w:numPr>
          <w:ilvl w:val="1"/>
          <w:numId w:val="1"/>
        </w:numPr>
        <w:tabs>
          <w:tab w:val="left" w:pos="1782"/>
        </w:tabs>
        <w:spacing w:before="1"/>
        <w:ind w:hanging="150"/>
        <w:rPr>
          <w:sz w:val="28"/>
        </w:rPr>
      </w:pPr>
      <w:r>
        <w:rPr>
          <w:sz w:val="28"/>
        </w:rPr>
        <w:t>solde des échanges de biens et services</w:t>
      </w:r>
      <w:r>
        <w:rPr>
          <w:spacing w:val="-7"/>
          <w:sz w:val="28"/>
        </w:rPr>
        <w:t xml:space="preserve"> </w:t>
      </w:r>
      <w:r>
        <w:rPr>
          <w:sz w:val="28"/>
        </w:rPr>
        <w:t>;</w:t>
      </w:r>
    </w:p>
    <w:p w:rsidR="005D55C9" w:rsidRDefault="001F73B5">
      <w:pPr>
        <w:pStyle w:val="Paragraphedeliste"/>
        <w:numPr>
          <w:ilvl w:val="1"/>
          <w:numId w:val="1"/>
        </w:numPr>
        <w:tabs>
          <w:tab w:val="left" w:pos="1782"/>
        </w:tabs>
        <w:spacing w:before="251"/>
        <w:ind w:hanging="150"/>
        <w:rPr>
          <w:sz w:val="28"/>
        </w:rPr>
      </w:pPr>
      <w:r>
        <w:rPr>
          <w:sz w:val="28"/>
        </w:rPr>
        <w:t>solde des opérations</w:t>
      </w:r>
      <w:r>
        <w:rPr>
          <w:spacing w:val="-5"/>
          <w:sz w:val="28"/>
        </w:rPr>
        <w:t xml:space="preserve"> </w:t>
      </w:r>
      <w:r>
        <w:rPr>
          <w:sz w:val="28"/>
        </w:rPr>
        <w:t>cou</w:t>
      </w:r>
      <w:r>
        <w:rPr>
          <w:sz w:val="28"/>
        </w:rPr>
        <w:t>rantes.</w:t>
      </w:r>
    </w:p>
    <w:p w:rsidR="005D55C9" w:rsidRDefault="001F73B5">
      <w:pPr>
        <w:pStyle w:val="Paragraphedeliste"/>
        <w:numPr>
          <w:ilvl w:val="0"/>
          <w:numId w:val="1"/>
        </w:numPr>
        <w:tabs>
          <w:tab w:val="left" w:pos="421"/>
        </w:tabs>
        <w:spacing w:before="251" w:line="415" w:lineRule="auto"/>
        <w:ind w:left="216" w:right="1330" w:firstLine="0"/>
        <w:rPr>
          <w:sz w:val="28"/>
        </w:rPr>
      </w:pPr>
      <w:r>
        <w:rPr>
          <w:sz w:val="28"/>
        </w:rPr>
        <w:t>- Calculez la variation des avoirs de réserves. Justifiez votre réponse. 3 - Quelle est la signification du poste « Erreurs et omissions »</w:t>
      </w:r>
      <w:r>
        <w:rPr>
          <w:spacing w:val="-25"/>
          <w:sz w:val="28"/>
        </w:rPr>
        <w:t xml:space="preserve"> </w:t>
      </w:r>
      <w:r>
        <w:rPr>
          <w:sz w:val="28"/>
        </w:rPr>
        <w:t>?</w:t>
      </w:r>
    </w:p>
    <w:p w:rsidR="005D55C9" w:rsidRDefault="001F73B5">
      <w:pPr>
        <w:pStyle w:val="Corpsdetexte"/>
        <w:spacing w:before="3" w:line="276" w:lineRule="auto"/>
        <w:ind w:left="216"/>
      </w:pPr>
      <w:r>
        <w:t>4 - Quels indicateurs du commerce extérieur pouvez-vous construire à partir du tableau précédent ? Calculez</w:t>
      </w:r>
      <w:r>
        <w:t xml:space="preserve"> et commentez ces indicateurs.</w:t>
      </w:r>
    </w:p>
    <w:p w:rsidR="005D55C9" w:rsidRDefault="005D55C9">
      <w:pPr>
        <w:spacing w:line="276" w:lineRule="auto"/>
        <w:sectPr w:rsidR="005D55C9">
          <w:pgSz w:w="11910" w:h="16840"/>
          <w:pgMar w:top="1380" w:right="1200" w:bottom="280" w:left="1200" w:header="720" w:footer="720" w:gutter="0"/>
          <w:cols w:space="720"/>
        </w:sectPr>
      </w:pPr>
    </w:p>
    <w:p w:rsidR="005D55C9" w:rsidRDefault="005D55C9">
      <w:pPr>
        <w:pStyle w:val="Corpsdetexte"/>
        <w:spacing w:before="4"/>
        <w:rPr>
          <w:rFonts w:ascii="Times New Roman"/>
          <w:sz w:val="17"/>
        </w:rPr>
      </w:pPr>
    </w:p>
    <w:sectPr w:rsidR="005D55C9" w:rsidSect="005D55C9">
      <w:pgSz w:w="11910" w:h="16840"/>
      <w:pgMar w:top="1580" w:right="120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621"/>
    <w:multiLevelType w:val="hybridMultilevel"/>
    <w:tmpl w:val="88967C88"/>
    <w:lvl w:ilvl="0" w:tplc="D3B0C120">
      <w:start w:val="1"/>
      <w:numFmt w:val="decimal"/>
      <w:lvlText w:val="%1"/>
      <w:lvlJc w:val="left"/>
      <w:pPr>
        <w:ind w:left="420" w:hanging="204"/>
        <w:jc w:val="left"/>
      </w:pPr>
      <w:rPr>
        <w:rFonts w:ascii="Calibri" w:eastAsia="Calibri" w:hAnsi="Calibri" w:cs="Calibri" w:hint="default"/>
        <w:w w:val="100"/>
        <w:sz w:val="28"/>
        <w:szCs w:val="28"/>
        <w:lang w:val="fr-FR" w:eastAsia="fr-FR" w:bidi="fr-FR"/>
      </w:rPr>
    </w:lvl>
    <w:lvl w:ilvl="1" w:tplc="9F7A9C9C">
      <w:numFmt w:val="bullet"/>
      <w:lvlText w:val="-"/>
      <w:lvlJc w:val="left"/>
      <w:pPr>
        <w:ind w:left="1781" w:hanging="149"/>
      </w:pPr>
      <w:rPr>
        <w:rFonts w:ascii="Calibri" w:eastAsia="Calibri" w:hAnsi="Calibri" w:cs="Calibri" w:hint="default"/>
        <w:w w:val="100"/>
        <w:sz w:val="28"/>
        <w:szCs w:val="28"/>
        <w:lang w:val="fr-FR" w:eastAsia="fr-FR" w:bidi="fr-FR"/>
      </w:rPr>
    </w:lvl>
    <w:lvl w:ilvl="2" w:tplc="9BA81F26">
      <w:numFmt w:val="bullet"/>
      <w:lvlText w:val="•"/>
      <w:lvlJc w:val="left"/>
      <w:pPr>
        <w:ind w:left="2638" w:hanging="149"/>
      </w:pPr>
      <w:rPr>
        <w:rFonts w:hint="default"/>
        <w:lang w:val="fr-FR" w:eastAsia="fr-FR" w:bidi="fr-FR"/>
      </w:rPr>
    </w:lvl>
    <w:lvl w:ilvl="3" w:tplc="3EFCCC2A">
      <w:numFmt w:val="bullet"/>
      <w:lvlText w:val="•"/>
      <w:lvlJc w:val="left"/>
      <w:pPr>
        <w:ind w:left="3496" w:hanging="149"/>
      </w:pPr>
      <w:rPr>
        <w:rFonts w:hint="default"/>
        <w:lang w:val="fr-FR" w:eastAsia="fr-FR" w:bidi="fr-FR"/>
      </w:rPr>
    </w:lvl>
    <w:lvl w:ilvl="4" w:tplc="16D8C11E">
      <w:numFmt w:val="bullet"/>
      <w:lvlText w:val="•"/>
      <w:lvlJc w:val="left"/>
      <w:pPr>
        <w:ind w:left="4355" w:hanging="149"/>
      </w:pPr>
      <w:rPr>
        <w:rFonts w:hint="default"/>
        <w:lang w:val="fr-FR" w:eastAsia="fr-FR" w:bidi="fr-FR"/>
      </w:rPr>
    </w:lvl>
    <w:lvl w:ilvl="5" w:tplc="4BDCCE2C">
      <w:numFmt w:val="bullet"/>
      <w:lvlText w:val="•"/>
      <w:lvlJc w:val="left"/>
      <w:pPr>
        <w:ind w:left="5213" w:hanging="149"/>
      </w:pPr>
      <w:rPr>
        <w:rFonts w:hint="default"/>
        <w:lang w:val="fr-FR" w:eastAsia="fr-FR" w:bidi="fr-FR"/>
      </w:rPr>
    </w:lvl>
    <w:lvl w:ilvl="6" w:tplc="0BD89F3A">
      <w:numFmt w:val="bullet"/>
      <w:lvlText w:val="•"/>
      <w:lvlJc w:val="left"/>
      <w:pPr>
        <w:ind w:left="6072" w:hanging="149"/>
      </w:pPr>
      <w:rPr>
        <w:rFonts w:hint="default"/>
        <w:lang w:val="fr-FR" w:eastAsia="fr-FR" w:bidi="fr-FR"/>
      </w:rPr>
    </w:lvl>
    <w:lvl w:ilvl="7" w:tplc="02EA3EFA">
      <w:numFmt w:val="bullet"/>
      <w:lvlText w:val="•"/>
      <w:lvlJc w:val="left"/>
      <w:pPr>
        <w:ind w:left="6930" w:hanging="149"/>
      </w:pPr>
      <w:rPr>
        <w:rFonts w:hint="default"/>
        <w:lang w:val="fr-FR" w:eastAsia="fr-FR" w:bidi="fr-FR"/>
      </w:rPr>
    </w:lvl>
    <w:lvl w:ilvl="8" w:tplc="8A66D030">
      <w:numFmt w:val="bullet"/>
      <w:lvlText w:val="•"/>
      <w:lvlJc w:val="left"/>
      <w:pPr>
        <w:ind w:left="7789" w:hanging="149"/>
      </w:pPr>
      <w:rPr>
        <w:rFonts w:hint="default"/>
        <w:lang w:val="fr-FR" w:eastAsia="fr-FR" w:bidi="fr-FR"/>
      </w:rPr>
    </w:lvl>
  </w:abstractNum>
  <w:abstractNum w:abstractNumId="1">
    <w:nsid w:val="1D8823BC"/>
    <w:multiLevelType w:val="hybridMultilevel"/>
    <w:tmpl w:val="50EE529E"/>
    <w:lvl w:ilvl="0" w:tplc="01EE5076">
      <w:numFmt w:val="bullet"/>
      <w:lvlText w:val="-"/>
      <w:lvlJc w:val="left"/>
      <w:pPr>
        <w:ind w:left="107" w:hanging="106"/>
      </w:pPr>
      <w:rPr>
        <w:rFonts w:ascii="Times New Roman" w:eastAsia="Times New Roman" w:hAnsi="Times New Roman" w:cs="Times New Roman" w:hint="default"/>
        <w:spacing w:val="-3"/>
        <w:w w:val="99"/>
        <w:sz w:val="18"/>
        <w:szCs w:val="18"/>
        <w:lang w:val="fr-FR" w:eastAsia="fr-FR" w:bidi="fr-FR"/>
      </w:rPr>
    </w:lvl>
    <w:lvl w:ilvl="1" w:tplc="19E4B71A">
      <w:numFmt w:val="bullet"/>
      <w:lvlText w:val="•"/>
      <w:lvlJc w:val="left"/>
      <w:pPr>
        <w:ind w:left="242" w:hanging="106"/>
      </w:pPr>
      <w:rPr>
        <w:rFonts w:hint="default"/>
        <w:lang w:val="fr-FR" w:eastAsia="fr-FR" w:bidi="fr-FR"/>
      </w:rPr>
    </w:lvl>
    <w:lvl w:ilvl="2" w:tplc="E43E9B8E">
      <w:numFmt w:val="bullet"/>
      <w:lvlText w:val="•"/>
      <w:lvlJc w:val="left"/>
      <w:pPr>
        <w:ind w:left="385" w:hanging="106"/>
      </w:pPr>
      <w:rPr>
        <w:rFonts w:hint="default"/>
        <w:lang w:val="fr-FR" w:eastAsia="fr-FR" w:bidi="fr-FR"/>
      </w:rPr>
    </w:lvl>
    <w:lvl w:ilvl="3" w:tplc="00F28D4C">
      <w:numFmt w:val="bullet"/>
      <w:lvlText w:val="•"/>
      <w:lvlJc w:val="left"/>
      <w:pPr>
        <w:ind w:left="527" w:hanging="106"/>
      </w:pPr>
      <w:rPr>
        <w:rFonts w:hint="default"/>
        <w:lang w:val="fr-FR" w:eastAsia="fr-FR" w:bidi="fr-FR"/>
      </w:rPr>
    </w:lvl>
    <w:lvl w:ilvl="4" w:tplc="1F26655A">
      <w:numFmt w:val="bullet"/>
      <w:lvlText w:val="•"/>
      <w:lvlJc w:val="left"/>
      <w:pPr>
        <w:ind w:left="670" w:hanging="106"/>
      </w:pPr>
      <w:rPr>
        <w:rFonts w:hint="default"/>
        <w:lang w:val="fr-FR" w:eastAsia="fr-FR" w:bidi="fr-FR"/>
      </w:rPr>
    </w:lvl>
    <w:lvl w:ilvl="5" w:tplc="AD089220">
      <w:numFmt w:val="bullet"/>
      <w:lvlText w:val="•"/>
      <w:lvlJc w:val="left"/>
      <w:pPr>
        <w:ind w:left="813" w:hanging="106"/>
      </w:pPr>
      <w:rPr>
        <w:rFonts w:hint="default"/>
        <w:lang w:val="fr-FR" w:eastAsia="fr-FR" w:bidi="fr-FR"/>
      </w:rPr>
    </w:lvl>
    <w:lvl w:ilvl="6" w:tplc="6834EB8C">
      <w:numFmt w:val="bullet"/>
      <w:lvlText w:val="•"/>
      <w:lvlJc w:val="left"/>
      <w:pPr>
        <w:ind w:left="955" w:hanging="106"/>
      </w:pPr>
      <w:rPr>
        <w:rFonts w:hint="default"/>
        <w:lang w:val="fr-FR" w:eastAsia="fr-FR" w:bidi="fr-FR"/>
      </w:rPr>
    </w:lvl>
    <w:lvl w:ilvl="7" w:tplc="1E2E5424">
      <w:numFmt w:val="bullet"/>
      <w:lvlText w:val="•"/>
      <w:lvlJc w:val="left"/>
      <w:pPr>
        <w:ind w:left="1098" w:hanging="106"/>
      </w:pPr>
      <w:rPr>
        <w:rFonts w:hint="default"/>
        <w:lang w:val="fr-FR" w:eastAsia="fr-FR" w:bidi="fr-FR"/>
      </w:rPr>
    </w:lvl>
    <w:lvl w:ilvl="8" w:tplc="7326E90A">
      <w:numFmt w:val="bullet"/>
      <w:lvlText w:val="•"/>
      <w:lvlJc w:val="left"/>
      <w:pPr>
        <w:ind w:left="1240" w:hanging="106"/>
      </w:pPr>
      <w:rPr>
        <w:rFonts w:hint="default"/>
        <w:lang w:val="fr-FR" w:eastAsia="fr-FR" w:bidi="fr-FR"/>
      </w:rPr>
    </w:lvl>
  </w:abstractNum>
  <w:abstractNum w:abstractNumId="2">
    <w:nsid w:val="4E001BB7"/>
    <w:multiLevelType w:val="hybridMultilevel"/>
    <w:tmpl w:val="EDE64020"/>
    <w:lvl w:ilvl="0" w:tplc="9F54EE26">
      <w:numFmt w:val="bullet"/>
      <w:lvlText w:val=""/>
      <w:lvlJc w:val="left"/>
      <w:pPr>
        <w:ind w:left="936" w:hanging="363"/>
      </w:pPr>
      <w:rPr>
        <w:rFonts w:ascii="Symbol" w:eastAsia="Symbol" w:hAnsi="Symbol" w:cs="Symbol" w:hint="default"/>
        <w:w w:val="100"/>
        <w:sz w:val="24"/>
        <w:szCs w:val="24"/>
        <w:lang w:val="fr-FR" w:eastAsia="fr-FR" w:bidi="fr-FR"/>
      </w:rPr>
    </w:lvl>
    <w:lvl w:ilvl="1" w:tplc="C46C03D8">
      <w:numFmt w:val="bullet"/>
      <w:lvlText w:val="•"/>
      <w:lvlJc w:val="left"/>
      <w:pPr>
        <w:ind w:left="1796" w:hanging="363"/>
      </w:pPr>
      <w:rPr>
        <w:rFonts w:hint="default"/>
        <w:lang w:val="fr-FR" w:eastAsia="fr-FR" w:bidi="fr-FR"/>
      </w:rPr>
    </w:lvl>
    <w:lvl w:ilvl="2" w:tplc="CE984C96">
      <w:numFmt w:val="bullet"/>
      <w:lvlText w:val="•"/>
      <w:lvlJc w:val="left"/>
      <w:pPr>
        <w:ind w:left="2653" w:hanging="363"/>
      </w:pPr>
      <w:rPr>
        <w:rFonts w:hint="default"/>
        <w:lang w:val="fr-FR" w:eastAsia="fr-FR" w:bidi="fr-FR"/>
      </w:rPr>
    </w:lvl>
    <w:lvl w:ilvl="3" w:tplc="A2BC7ECE">
      <w:numFmt w:val="bullet"/>
      <w:lvlText w:val="•"/>
      <w:lvlJc w:val="left"/>
      <w:pPr>
        <w:ind w:left="3509" w:hanging="363"/>
      </w:pPr>
      <w:rPr>
        <w:rFonts w:hint="default"/>
        <w:lang w:val="fr-FR" w:eastAsia="fr-FR" w:bidi="fr-FR"/>
      </w:rPr>
    </w:lvl>
    <w:lvl w:ilvl="4" w:tplc="04B86A08">
      <w:numFmt w:val="bullet"/>
      <w:lvlText w:val="•"/>
      <w:lvlJc w:val="left"/>
      <w:pPr>
        <w:ind w:left="4366" w:hanging="363"/>
      </w:pPr>
      <w:rPr>
        <w:rFonts w:hint="default"/>
        <w:lang w:val="fr-FR" w:eastAsia="fr-FR" w:bidi="fr-FR"/>
      </w:rPr>
    </w:lvl>
    <w:lvl w:ilvl="5" w:tplc="35DA625E">
      <w:numFmt w:val="bullet"/>
      <w:lvlText w:val="•"/>
      <w:lvlJc w:val="left"/>
      <w:pPr>
        <w:ind w:left="5223" w:hanging="363"/>
      </w:pPr>
      <w:rPr>
        <w:rFonts w:hint="default"/>
        <w:lang w:val="fr-FR" w:eastAsia="fr-FR" w:bidi="fr-FR"/>
      </w:rPr>
    </w:lvl>
    <w:lvl w:ilvl="6" w:tplc="3124B800">
      <w:numFmt w:val="bullet"/>
      <w:lvlText w:val="•"/>
      <w:lvlJc w:val="left"/>
      <w:pPr>
        <w:ind w:left="6079" w:hanging="363"/>
      </w:pPr>
      <w:rPr>
        <w:rFonts w:hint="default"/>
        <w:lang w:val="fr-FR" w:eastAsia="fr-FR" w:bidi="fr-FR"/>
      </w:rPr>
    </w:lvl>
    <w:lvl w:ilvl="7" w:tplc="5EBCD950">
      <w:numFmt w:val="bullet"/>
      <w:lvlText w:val="•"/>
      <w:lvlJc w:val="left"/>
      <w:pPr>
        <w:ind w:left="6936" w:hanging="363"/>
      </w:pPr>
      <w:rPr>
        <w:rFonts w:hint="default"/>
        <w:lang w:val="fr-FR" w:eastAsia="fr-FR" w:bidi="fr-FR"/>
      </w:rPr>
    </w:lvl>
    <w:lvl w:ilvl="8" w:tplc="61EACDC8">
      <w:numFmt w:val="bullet"/>
      <w:lvlText w:val="•"/>
      <w:lvlJc w:val="left"/>
      <w:pPr>
        <w:ind w:left="7793" w:hanging="363"/>
      </w:pPr>
      <w:rPr>
        <w:rFonts w:hint="default"/>
        <w:lang w:val="fr-FR" w:eastAsia="fr-FR" w:bidi="fr-FR"/>
      </w:rPr>
    </w:lvl>
  </w:abstractNum>
  <w:abstractNum w:abstractNumId="3">
    <w:nsid w:val="644F7612"/>
    <w:multiLevelType w:val="hybridMultilevel"/>
    <w:tmpl w:val="B272420E"/>
    <w:lvl w:ilvl="0" w:tplc="6AE41EA8">
      <w:start w:val="1"/>
      <w:numFmt w:val="decimal"/>
      <w:lvlText w:val="%1)"/>
      <w:lvlJc w:val="left"/>
      <w:pPr>
        <w:ind w:left="576" w:hanging="360"/>
        <w:jc w:val="left"/>
      </w:pPr>
      <w:rPr>
        <w:rFonts w:ascii="Times New Roman" w:eastAsia="Times New Roman" w:hAnsi="Times New Roman" w:cs="Times New Roman" w:hint="default"/>
        <w:spacing w:val="-20"/>
        <w:w w:val="99"/>
        <w:sz w:val="24"/>
        <w:szCs w:val="24"/>
        <w:lang w:val="fr-FR" w:eastAsia="fr-FR" w:bidi="fr-FR"/>
      </w:rPr>
    </w:lvl>
    <w:lvl w:ilvl="1" w:tplc="6BB0B658">
      <w:start w:val="1"/>
      <w:numFmt w:val="decimal"/>
      <w:lvlText w:val="%2"/>
      <w:lvlJc w:val="left"/>
      <w:pPr>
        <w:ind w:left="216" w:hanging="226"/>
        <w:jc w:val="left"/>
      </w:pPr>
      <w:rPr>
        <w:rFonts w:ascii="Calibri" w:eastAsia="Calibri" w:hAnsi="Calibri" w:cs="Calibri" w:hint="default"/>
        <w:w w:val="100"/>
        <w:sz w:val="28"/>
        <w:szCs w:val="28"/>
        <w:lang w:val="fr-FR" w:eastAsia="fr-FR" w:bidi="fr-FR"/>
      </w:rPr>
    </w:lvl>
    <w:lvl w:ilvl="2" w:tplc="CC4AD3DE">
      <w:numFmt w:val="bullet"/>
      <w:lvlText w:val="•"/>
      <w:lvlJc w:val="left"/>
      <w:pPr>
        <w:ind w:left="1571" w:hanging="226"/>
      </w:pPr>
      <w:rPr>
        <w:rFonts w:hint="default"/>
        <w:lang w:val="fr-FR" w:eastAsia="fr-FR" w:bidi="fr-FR"/>
      </w:rPr>
    </w:lvl>
    <w:lvl w:ilvl="3" w:tplc="A6AC99A8">
      <w:numFmt w:val="bullet"/>
      <w:lvlText w:val="•"/>
      <w:lvlJc w:val="left"/>
      <w:pPr>
        <w:ind w:left="2563" w:hanging="226"/>
      </w:pPr>
      <w:rPr>
        <w:rFonts w:hint="default"/>
        <w:lang w:val="fr-FR" w:eastAsia="fr-FR" w:bidi="fr-FR"/>
      </w:rPr>
    </w:lvl>
    <w:lvl w:ilvl="4" w:tplc="4E6CD7F4">
      <w:numFmt w:val="bullet"/>
      <w:lvlText w:val="•"/>
      <w:lvlJc w:val="left"/>
      <w:pPr>
        <w:ind w:left="3555" w:hanging="226"/>
      </w:pPr>
      <w:rPr>
        <w:rFonts w:hint="default"/>
        <w:lang w:val="fr-FR" w:eastAsia="fr-FR" w:bidi="fr-FR"/>
      </w:rPr>
    </w:lvl>
    <w:lvl w:ilvl="5" w:tplc="52F4DD16">
      <w:numFmt w:val="bullet"/>
      <w:lvlText w:val="•"/>
      <w:lvlJc w:val="left"/>
      <w:pPr>
        <w:ind w:left="4547" w:hanging="226"/>
      </w:pPr>
      <w:rPr>
        <w:rFonts w:hint="default"/>
        <w:lang w:val="fr-FR" w:eastAsia="fr-FR" w:bidi="fr-FR"/>
      </w:rPr>
    </w:lvl>
    <w:lvl w:ilvl="6" w:tplc="345E6F08">
      <w:numFmt w:val="bullet"/>
      <w:lvlText w:val="•"/>
      <w:lvlJc w:val="left"/>
      <w:pPr>
        <w:ind w:left="5539" w:hanging="226"/>
      </w:pPr>
      <w:rPr>
        <w:rFonts w:hint="default"/>
        <w:lang w:val="fr-FR" w:eastAsia="fr-FR" w:bidi="fr-FR"/>
      </w:rPr>
    </w:lvl>
    <w:lvl w:ilvl="7" w:tplc="0BBC725A">
      <w:numFmt w:val="bullet"/>
      <w:lvlText w:val="•"/>
      <w:lvlJc w:val="left"/>
      <w:pPr>
        <w:ind w:left="6530" w:hanging="226"/>
      </w:pPr>
      <w:rPr>
        <w:rFonts w:hint="default"/>
        <w:lang w:val="fr-FR" w:eastAsia="fr-FR" w:bidi="fr-FR"/>
      </w:rPr>
    </w:lvl>
    <w:lvl w:ilvl="8" w:tplc="48DA2CBC">
      <w:numFmt w:val="bullet"/>
      <w:lvlText w:val="•"/>
      <w:lvlJc w:val="left"/>
      <w:pPr>
        <w:ind w:left="7522" w:hanging="226"/>
      </w:pPr>
      <w:rPr>
        <w:rFonts w:hint="default"/>
        <w:lang w:val="fr-FR" w:eastAsia="fr-FR" w:bidi="fr-FR"/>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5D55C9"/>
    <w:rsid w:val="001F73B5"/>
    <w:rsid w:val="005D55C9"/>
    <w:rsid w:val="00963B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55C9"/>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D55C9"/>
    <w:tblPr>
      <w:tblInd w:w="0" w:type="dxa"/>
      <w:tblCellMar>
        <w:top w:w="0" w:type="dxa"/>
        <w:left w:w="0" w:type="dxa"/>
        <w:bottom w:w="0" w:type="dxa"/>
        <w:right w:w="0" w:type="dxa"/>
      </w:tblCellMar>
    </w:tblPr>
  </w:style>
  <w:style w:type="paragraph" w:styleId="Corpsdetexte">
    <w:name w:val="Body Text"/>
    <w:basedOn w:val="Normal"/>
    <w:uiPriority w:val="1"/>
    <w:qFormat/>
    <w:rsid w:val="005D55C9"/>
    <w:rPr>
      <w:sz w:val="28"/>
      <w:szCs w:val="28"/>
    </w:rPr>
  </w:style>
  <w:style w:type="paragraph" w:customStyle="1" w:styleId="Heading1">
    <w:name w:val="Heading 1"/>
    <w:basedOn w:val="Normal"/>
    <w:uiPriority w:val="1"/>
    <w:qFormat/>
    <w:rsid w:val="005D55C9"/>
    <w:pPr>
      <w:ind w:left="216"/>
      <w:outlineLvl w:val="1"/>
    </w:pPr>
    <w:rPr>
      <w:b/>
      <w:bCs/>
      <w:sz w:val="32"/>
      <w:szCs w:val="32"/>
      <w:u w:val="single" w:color="000000"/>
    </w:rPr>
  </w:style>
  <w:style w:type="paragraph" w:styleId="Paragraphedeliste">
    <w:name w:val="List Paragraph"/>
    <w:basedOn w:val="Normal"/>
    <w:uiPriority w:val="1"/>
    <w:qFormat/>
    <w:rsid w:val="005D55C9"/>
    <w:pPr>
      <w:spacing w:before="120"/>
      <w:ind w:left="216" w:firstLine="707"/>
    </w:pPr>
  </w:style>
  <w:style w:type="paragraph" w:customStyle="1" w:styleId="TableParagraph">
    <w:name w:val="Table Paragraph"/>
    <w:basedOn w:val="Normal"/>
    <w:uiPriority w:val="1"/>
    <w:qFormat/>
    <w:rsid w:val="005D55C9"/>
    <w:pPr>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2621</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bourkha meryem</dc:creator>
  <cp:lastModifiedBy>benazi</cp:lastModifiedBy>
  <cp:revision>2</cp:revision>
  <dcterms:created xsi:type="dcterms:W3CDTF">2021-01-21T16:42:00Z</dcterms:created>
  <dcterms:modified xsi:type="dcterms:W3CDTF">2021-01-21T16:42:00Z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2021-01-21T00:00:00Z</vt:filetime>
  </property>
</Properties>
</file>